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35708" w14:textId="77777777" w:rsidR="00F20C3E" w:rsidRDefault="00F20C3E" w:rsidP="00F20C3E">
      <w:pPr>
        <w:pStyle w:val="APABody"/>
      </w:pPr>
    </w:p>
    <w:p w14:paraId="04CEA534" w14:textId="77777777" w:rsidR="00F20C3E" w:rsidRDefault="00F20C3E" w:rsidP="00F20C3E">
      <w:pPr>
        <w:pStyle w:val="APABody"/>
      </w:pPr>
    </w:p>
    <w:p w14:paraId="06A46076" w14:textId="600B6B84" w:rsidR="00F20C3E" w:rsidRDefault="00F20C3E" w:rsidP="00F20C3E">
      <w:pPr>
        <w:pStyle w:val="APABody"/>
        <w:rPr>
          <w:rFonts w:ascii="Arial" w:hAnsi="Arial" w:cs="Arial"/>
          <w:sz w:val="22"/>
        </w:rPr>
      </w:pPr>
    </w:p>
    <w:p w14:paraId="31288A89" w14:textId="77777777" w:rsidR="00A167AD" w:rsidRPr="00992A1F" w:rsidRDefault="00A167AD" w:rsidP="00F20C3E">
      <w:pPr>
        <w:pStyle w:val="APABody"/>
        <w:rPr>
          <w:rFonts w:ascii="Arial" w:hAnsi="Arial" w:cs="Arial"/>
          <w:sz w:val="22"/>
        </w:rPr>
      </w:pPr>
    </w:p>
    <w:p w14:paraId="278E1370" w14:textId="6433E2D7" w:rsidR="00F20C3E" w:rsidRPr="00992A1F" w:rsidRDefault="004F3335" w:rsidP="00E54DB4">
      <w:pPr>
        <w:pStyle w:val="APAHeading1"/>
        <w:rPr>
          <w:rFonts w:ascii="Arial" w:hAnsi="Arial" w:cs="Arial"/>
          <w:sz w:val="22"/>
        </w:rPr>
      </w:pPr>
      <w:r>
        <w:rPr>
          <w:rFonts w:ascii="Arial" w:hAnsi="Arial" w:cs="Arial"/>
          <w:sz w:val="22"/>
        </w:rPr>
        <w:t>Implementing Financial Literacy Training in the USAR</w:t>
      </w:r>
    </w:p>
    <w:p w14:paraId="6930930C" w14:textId="77777777" w:rsidR="00C60A0A" w:rsidRDefault="00C60A0A" w:rsidP="00F20C3E">
      <w:pPr>
        <w:pStyle w:val="APACenteredText"/>
        <w:rPr>
          <w:rFonts w:ascii="Arial" w:hAnsi="Arial" w:cs="Arial"/>
          <w:sz w:val="22"/>
        </w:rPr>
      </w:pPr>
    </w:p>
    <w:p w14:paraId="108C803D" w14:textId="1406EFF7" w:rsidR="00F20C3E" w:rsidRPr="00992A1F" w:rsidRDefault="00EB5493" w:rsidP="00F20C3E">
      <w:pPr>
        <w:pStyle w:val="APACenteredText"/>
        <w:rPr>
          <w:rFonts w:ascii="Arial" w:hAnsi="Arial" w:cs="Arial"/>
          <w:sz w:val="22"/>
        </w:rPr>
      </w:pPr>
      <w:r w:rsidRPr="00992A1F">
        <w:rPr>
          <w:rFonts w:ascii="Arial" w:hAnsi="Arial" w:cs="Arial"/>
          <w:sz w:val="22"/>
        </w:rPr>
        <w:t>Daniel Daly</w:t>
      </w:r>
    </w:p>
    <w:p w14:paraId="792061C0" w14:textId="55A1C54A" w:rsidR="00F20C3E" w:rsidRPr="00992A1F" w:rsidRDefault="007130FB" w:rsidP="00F20C3E">
      <w:pPr>
        <w:pStyle w:val="APACenteredText"/>
        <w:rPr>
          <w:rFonts w:ascii="Arial" w:hAnsi="Arial" w:cs="Arial"/>
          <w:sz w:val="22"/>
        </w:rPr>
      </w:pPr>
      <w:r w:rsidRPr="00992A1F">
        <w:rPr>
          <w:rFonts w:ascii="Arial" w:hAnsi="Arial" w:cs="Arial"/>
          <w:sz w:val="22"/>
        </w:rPr>
        <w:t>Organizational Leadership, Johns Hopkins University</w:t>
      </w:r>
      <w:r w:rsidR="00F20C3E" w:rsidRPr="00992A1F">
        <w:rPr>
          <w:rFonts w:ascii="Arial" w:hAnsi="Arial" w:cs="Arial"/>
          <w:sz w:val="22"/>
        </w:rPr>
        <w:t xml:space="preserve"> </w:t>
      </w:r>
    </w:p>
    <w:p w14:paraId="6A52E86D" w14:textId="79553779" w:rsidR="00F20C3E" w:rsidRPr="00992A1F" w:rsidRDefault="007130FB" w:rsidP="00F20C3E">
      <w:pPr>
        <w:pStyle w:val="APACenteredText"/>
        <w:rPr>
          <w:rFonts w:ascii="Arial" w:hAnsi="Arial" w:cs="Arial"/>
          <w:sz w:val="22"/>
        </w:rPr>
      </w:pPr>
      <w:r w:rsidRPr="00992A1F">
        <w:rPr>
          <w:rFonts w:ascii="Arial" w:hAnsi="Arial" w:cs="Arial"/>
          <w:sz w:val="22"/>
        </w:rPr>
        <w:t>AS.485.6</w:t>
      </w:r>
      <w:r w:rsidR="00992A1F" w:rsidRPr="00992A1F">
        <w:rPr>
          <w:rFonts w:ascii="Arial" w:hAnsi="Arial" w:cs="Arial"/>
          <w:sz w:val="22"/>
        </w:rPr>
        <w:t>1</w:t>
      </w:r>
      <w:r w:rsidRPr="00992A1F">
        <w:rPr>
          <w:rFonts w:ascii="Arial" w:hAnsi="Arial" w:cs="Arial"/>
          <w:sz w:val="22"/>
        </w:rPr>
        <w:t>5.</w:t>
      </w:r>
      <w:proofErr w:type="gramStart"/>
      <w:r w:rsidRPr="00992A1F">
        <w:rPr>
          <w:rFonts w:ascii="Arial" w:hAnsi="Arial" w:cs="Arial"/>
          <w:sz w:val="22"/>
        </w:rPr>
        <w:t>81.SP</w:t>
      </w:r>
      <w:proofErr w:type="gramEnd"/>
      <w:r w:rsidRPr="00992A1F">
        <w:rPr>
          <w:rFonts w:ascii="Arial" w:hAnsi="Arial" w:cs="Arial"/>
          <w:sz w:val="22"/>
        </w:rPr>
        <w:t xml:space="preserve">24: </w:t>
      </w:r>
      <w:r w:rsidR="00992A1F" w:rsidRPr="00992A1F">
        <w:rPr>
          <w:rFonts w:ascii="Arial" w:hAnsi="Arial" w:cs="Arial"/>
          <w:sz w:val="22"/>
        </w:rPr>
        <w:t>Leading and Managing Change</w:t>
      </w:r>
    </w:p>
    <w:p w14:paraId="09AB8A2C" w14:textId="7FD8B6EC" w:rsidR="00F20C3E" w:rsidRPr="00992A1F" w:rsidRDefault="007130FB" w:rsidP="00F20C3E">
      <w:pPr>
        <w:pStyle w:val="APACenteredText"/>
        <w:rPr>
          <w:rFonts w:ascii="Arial" w:hAnsi="Arial" w:cs="Arial"/>
          <w:sz w:val="22"/>
        </w:rPr>
      </w:pPr>
      <w:r w:rsidRPr="00992A1F">
        <w:rPr>
          <w:rFonts w:ascii="Arial" w:hAnsi="Arial" w:cs="Arial"/>
          <w:sz w:val="22"/>
        </w:rPr>
        <w:t xml:space="preserve">Dr. </w:t>
      </w:r>
      <w:r w:rsidR="00992A1F">
        <w:rPr>
          <w:rFonts w:ascii="Arial" w:hAnsi="Arial" w:cs="Arial"/>
          <w:sz w:val="22"/>
        </w:rPr>
        <w:t>Gamaliel Baer</w:t>
      </w:r>
    </w:p>
    <w:p w14:paraId="14E07508" w14:textId="472C9ABF" w:rsidR="00F20C3E" w:rsidRPr="00992A1F" w:rsidRDefault="009908A9" w:rsidP="00F20C3E">
      <w:pPr>
        <w:pStyle w:val="APACenteredText"/>
        <w:rPr>
          <w:rFonts w:ascii="Arial" w:hAnsi="Arial" w:cs="Arial"/>
          <w:sz w:val="22"/>
        </w:rPr>
      </w:pPr>
      <w:r>
        <w:rPr>
          <w:rFonts w:ascii="Arial" w:hAnsi="Arial" w:cs="Arial"/>
          <w:sz w:val="22"/>
        </w:rPr>
        <w:t>May</w:t>
      </w:r>
      <w:r w:rsidR="00A60E28" w:rsidRPr="00992A1F">
        <w:rPr>
          <w:rFonts w:ascii="Arial" w:hAnsi="Arial" w:cs="Arial"/>
          <w:sz w:val="22"/>
        </w:rPr>
        <w:t xml:space="preserve"> </w:t>
      </w:r>
      <w:r>
        <w:rPr>
          <w:rFonts w:ascii="Arial" w:hAnsi="Arial" w:cs="Arial"/>
          <w:sz w:val="22"/>
        </w:rPr>
        <w:t>7</w:t>
      </w:r>
      <w:r w:rsidR="00F20C3E" w:rsidRPr="00992A1F">
        <w:rPr>
          <w:rFonts w:ascii="Arial" w:hAnsi="Arial" w:cs="Arial"/>
          <w:sz w:val="22"/>
        </w:rPr>
        <w:t>, 202</w:t>
      </w:r>
      <w:r w:rsidR="007130FB" w:rsidRPr="00992A1F">
        <w:rPr>
          <w:rFonts w:ascii="Arial" w:hAnsi="Arial" w:cs="Arial"/>
          <w:sz w:val="22"/>
        </w:rPr>
        <w:t>4</w:t>
      </w:r>
    </w:p>
    <w:p w14:paraId="01F66C7B" w14:textId="77777777" w:rsidR="00F20C3E" w:rsidRPr="00992A1F" w:rsidRDefault="00F20C3E" w:rsidP="00F20C3E">
      <w:pPr>
        <w:pStyle w:val="APABody"/>
        <w:rPr>
          <w:rFonts w:ascii="Arial" w:hAnsi="Arial" w:cs="Arial"/>
          <w:sz w:val="22"/>
        </w:rPr>
      </w:pPr>
      <w:r w:rsidRPr="00992A1F">
        <w:rPr>
          <w:rFonts w:ascii="Arial" w:hAnsi="Arial" w:cs="Arial"/>
          <w:sz w:val="22"/>
        </w:rPr>
        <w:br w:type="page"/>
      </w:r>
    </w:p>
    <w:p w14:paraId="4411500F" w14:textId="77777777" w:rsidR="004F3335" w:rsidRPr="00992A1F" w:rsidRDefault="004F3335" w:rsidP="004F3335">
      <w:pPr>
        <w:pStyle w:val="APAHeading1"/>
        <w:rPr>
          <w:rFonts w:ascii="Arial" w:hAnsi="Arial" w:cs="Arial"/>
          <w:sz w:val="22"/>
        </w:rPr>
      </w:pPr>
      <w:bookmarkStart w:id="0" w:name="CurLocation"/>
      <w:bookmarkEnd w:id="0"/>
      <w:r>
        <w:rPr>
          <w:rFonts w:ascii="Arial" w:hAnsi="Arial" w:cs="Arial"/>
          <w:sz w:val="22"/>
        </w:rPr>
        <w:lastRenderedPageBreak/>
        <w:t>Implementing Financial Literacy Training in the USAR</w:t>
      </w:r>
    </w:p>
    <w:p w14:paraId="4E7D2B90" w14:textId="7B576C9A" w:rsidR="00830745" w:rsidRPr="00992A1F" w:rsidRDefault="00C60A0A" w:rsidP="006D28B3">
      <w:pPr>
        <w:pStyle w:val="APABody"/>
        <w:rPr>
          <w:rFonts w:ascii="Arial" w:hAnsi="Arial" w:cs="Arial"/>
          <w:sz w:val="22"/>
        </w:rPr>
      </w:pPr>
      <w:r>
        <w:rPr>
          <w:rFonts w:ascii="Arial" w:hAnsi="Arial" w:cs="Arial"/>
          <w:sz w:val="22"/>
        </w:rPr>
        <w:t>The United States Army Reserve consists of over 180,000 Soldiers that are relied on for rapid deployment in support of US warfighting efforts.  To meet this demand, the Army Reserve has a difficult challenge; to maintain the readiness of a part time, volunteer fighting force.  A key factor contributing to the focus and well-being of Soldiers in a theater of war that is often overlooked is financial readiness of a Soldier and their family. The key prevention measure to avoid financial hardship and maintain readiness is financial literacy training</w:t>
      </w:r>
      <w:r w:rsidR="001379A2">
        <w:rPr>
          <w:rFonts w:ascii="Arial" w:hAnsi="Arial" w:cs="Arial"/>
          <w:sz w:val="22"/>
        </w:rPr>
        <w:t>,</w:t>
      </w:r>
      <w:r>
        <w:rPr>
          <w:rFonts w:ascii="Arial" w:hAnsi="Arial" w:cs="Arial"/>
          <w:sz w:val="22"/>
        </w:rPr>
        <w:t xml:space="preserve"> which is currently non-existent at the Battalion and Company level in the Army Reserve. </w:t>
      </w:r>
      <w:r w:rsidR="001379A2">
        <w:rPr>
          <w:rFonts w:ascii="Arial" w:hAnsi="Arial" w:cs="Arial"/>
          <w:sz w:val="22"/>
        </w:rPr>
        <w:t>This is vital to the accomplishment of the unit’s mission as f</w:t>
      </w:r>
      <w:r w:rsidR="001379A2">
        <w:rPr>
          <w:rFonts w:ascii="Arial" w:hAnsi="Arial" w:cs="Arial"/>
          <w:sz w:val="22"/>
        </w:rPr>
        <w:t>inancial considerations are the leading cause of security clearance adjudication and denial, half of all denials being due to financial issues (</w:t>
      </w:r>
      <w:proofErr w:type="spellStart"/>
      <w:r w:rsidR="001379A2">
        <w:rPr>
          <w:rFonts w:ascii="Arial" w:hAnsi="Arial" w:cs="Arial"/>
          <w:sz w:val="22"/>
        </w:rPr>
        <w:t>Mahnke</w:t>
      </w:r>
      <w:proofErr w:type="spellEnd"/>
      <w:r w:rsidR="001379A2">
        <w:rPr>
          <w:rFonts w:ascii="Arial" w:hAnsi="Arial" w:cs="Arial"/>
          <w:sz w:val="22"/>
        </w:rPr>
        <w:t xml:space="preserve">, 2022).  </w:t>
      </w:r>
      <w:r>
        <w:rPr>
          <w:rFonts w:ascii="Arial" w:hAnsi="Arial" w:cs="Arial"/>
          <w:sz w:val="22"/>
        </w:rPr>
        <w:t xml:space="preserve"> To correct this issue, Commanders need to focus on the financial well-being of their troops and develop financial literacy programs to train and support their Soldiers, in turn supporting the accomplishment of their assigned mission. This shift in focus will require changes to be strategically implemented into the training, tracking</w:t>
      </w:r>
      <w:r w:rsidR="001379A2">
        <w:rPr>
          <w:rFonts w:ascii="Arial" w:hAnsi="Arial" w:cs="Arial"/>
          <w:sz w:val="22"/>
        </w:rPr>
        <w:t>,</w:t>
      </w:r>
      <w:r>
        <w:rPr>
          <w:rFonts w:ascii="Arial" w:hAnsi="Arial" w:cs="Arial"/>
          <w:sz w:val="22"/>
        </w:rPr>
        <w:t xml:space="preserve"> and culture surrounding financial readiness and financial literacy at the Battalion and Company level.</w:t>
      </w:r>
      <w:r w:rsidR="001379A2">
        <w:rPr>
          <w:rFonts w:ascii="Arial" w:hAnsi="Arial" w:cs="Arial"/>
          <w:sz w:val="22"/>
        </w:rPr>
        <w:t xml:space="preserve">  The Battalion and Company level are the focal point of the change initiative as they are at a lower echelon consisting of 120 to 700 employees and are the echelon of the Army with the most direct influence and impact on the workforce.  The purpose of this short paper is to describe the most effective and lasting ways to implement a financial readiness program at the Battalion and Company level of the Army Reserve and to improve the financial readiness of the workforce.</w:t>
      </w:r>
    </w:p>
    <w:p w14:paraId="33136A24" w14:textId="56165666" w:rsidR="00830745" w:rsidRDefault="00830745" w:rsidP="00B72F2E">
      <w:pPr>
        <w:pStyle w:val="APABody"/>
        <w:ind w:firstLine="0"/>
        <w:jc w:val="center"/>
        <w:rPr>
          <w:rFonts w:ascii="Arial" w:hAnsi="Arial" w:cs="Arial"/>
          <w:b/>
          <w:bCs/>
          <w:sz w:val="22"/>
        </w:rPr>
      </w:pPr>
      <w:r>
        <w:rPr>
          <w:rFonts w:ascii="Arial" w:hAnsi="Arial" w:cs="Arial"/>
          <w:b/>
          <w:bCs/>
          <w:sz w:val="22"/>
        </w:rPr>
        <w:t>Method and Summary of Changes</w:t>
      </w:r>
      <w:r w:rsidR="00C60A0A">
        <w:rPr>
          <w:rFonts w:ascii="Arial" w:hAnsi="Arial" w:cs="Arial"/>
          <w:b/>
          <w:bCs/>
          <w:sz w:val="22"/>
        </w:rPr>
        <w:t xml:space="preserve"> to the Change Model</w:t>
      </w:r>
    </w:p>
    <w:p w14:paraId="584D3540" w14:textId="12B9706E" w:rsidR="00C60A0A" w:rsidRPr="00C60A0A" w:rsidRDefault="00C60A0A" w:rsidP="00C60A0A">
      <w:pPr>
        <w:pStyle w:val="APABody"/>
        <w:ind w:firstLine="0"/>
        <w:rPr>
          <w:rFonts w:ascii="Arial" w:hAnsi="Arial" w:cs="Arial"/>
          <w:sz w:val="22"/>
        </w:rPr>
      </w:pPr>
      <w:r>
        <w:rPr>
          <w:rFonts w:ascii="Arial" w:hAnsi="Arial" w:cs="Arial"/>
          <w:sz w:val="22"/>
        </w:rPr>
        <w:tab/>
        <w:t xml:space="preserve">The method to be employed in the proposed change initiative is a modified approach to John Kotter’s 8 Step model to leading change.  The 8 steps proposed by Kotter include establishing a sense of urgency, creating a guiding coalition, developing a vision and strategy, communicating the change vision, empowering employees for broad based action, generating short term wins, consolidating gains, and producing more change, and anchoring new </w:t>
      </w:r>
      <w:r>
        <w:rPr>
          <w:rFonts w:ascii="Arial" w:hAnsi="Arial" w:cs="Arial"/>
          <w:sz w:val="22"/>
        </w:rPr>
        <w:lastRenderedPageBreak/>
        <w:t>approaches in the culture (Kotter, 1996).  The modifications to the proposed model include creating an iterative occurrence during the action steps of the change initiative.  These iterative steps will be used to identify what from the implemented strategy is working and what is not.  The Iterative step will be implemented using Deming</w:t>
      </w:r>
      <w:r w:rsidR="00A167AD">
        <w:rPr>
          <w:rFonts w:ascii="Arial" w:hAnsi="Arial" w:cs="Arial"/>
          <w:sz w:val="22"/>
        </w:rPr>
        <w:t>’</w:t>
      </w:r>
      <w:r>
        <w:rPr>
          <w:rFonts w:ascii="Arial" w:hAnsi="Arial" w:cs="Arial"/>
          <w:sz w:val="22"/>
        </w:rPr>
        <w:t>s Plan-Do-Check-Act model</w:t>
      </w:r>
      <w:r w:rsidR="00E2653D">
        <w:rPr>
          <w:rFonts w:ascii="Arial" w:hAnsi="Arial" w:cs="Arial"/>
          <w:sz w:val="22"/>
        </w:rPr>
        <w:t xml:space="preserve"> (Deming, 1994)</w:t>
      </w:r>
      <w:r>
        <w:rPr>
          <w:rFonts w:ascii="Arial" w:hAnsi="Arial" w:cs="Arial"/>
          <w:sz w:val="22"/>
        </w:rPr>
        <w:t xml:space="preserve">.  Additionally, in progress reviews will be added to the model at the end of each of Kotter’s 8 steps, to verify the stability and status of the prior steps, ensuring that the sense of urgency is maintained throughout, that the guiding collation doesn’t falter, and that the strategy is still relevant. </w:t>
      </w:r>
    </w:p>
    <w:p w14:paraId="668B6445" w14:textId="5AAB21A9" w:rsidR="00F20C3E" w:rsidRPr="00992A1F" w:rsidRDefault="00830745" w:rsidP="00B72F2E">
      <w:pPr>
        <w:pStyle w:val="APABody"/>
        <w:ind w:firstLine="0"/>
        <w:jc w:val="center"/>
        <w:rPr>
          <w:rFonts w:ascii="Arial" w:hAnsi="Arial" w:cs="Arial"/>
          <w:b/>
          <w:bCs/>
          <w:sz w:val="22"/>
        </w:rPr>
      </w:pPr>
      <w:r>
        <w:rPr>
          <w:rFonts w:ascii="Arial" w:hAnsi="Arial" w:cs="Arial"/>
          <w:b/>
          <w:bCs/>
          <w:sz w:val="22"/>
        </w:rPr>
        <w:t>Creating a Sense of Urgency and Forming a Guiding Coalition</w:t>
      </w:r>
    </w:p>
    <w:p w14:paraId="2B303AA7" w14:textId="5F8D2340" w:rsidR="00C60A0A" w:rsidRDefault="00E54DB4" w:rsidP="00992A1F">
      <w:pPr>
        <w:pStyle w:val="APABody"/>
        <w:ind w:firstLine="0"/>
        <w:rPr>
          <w:rFonts w:ascii="Arial" w:hAnsi="Arial" w:cs="Arial"/>
          <w:sz w:val="22"/>
        </w:rPr>
      </w:pPr>
      <w:r w:rsidRPr="00992A1F">
        <w:rPr>
          <w:rFonts w:ascii="Arial" w:hAnsi="Arial" w:cs="Arial"/>
          <w:b/>
          <w:bCs/>
          <w:sz w:val="22"/>
        </w:rPr>
        <w:tab/>
      </w:r>
      <w:r w:rsidR="00C60A0A">
        <w:rPr>
          <w:rFonts w:ascii="Arial" w:hAnsi="Arial" w:cs="Arial"/>
          <w:sz w:val="22"/>
        </w:rPr>
        <w:t>A premier focus</w:t>
      </w:r>
      <w:r w:rsidR="00E2653D">
        <w:rPr>
          <w:rFonts w:ascii="Arial" w:hAnsi="Arial" w:cs="Arial"/>
          <w:sz w:val="22"/>
        </w:rPr>
        <w:t xml:space="preserve"> </w:t>
      </w:r>
      <w:r w:rsidR="00C60A0A">
        <w:rPr>
          <w:rFonts w:ascii="Arial" w:hAnsi="Arial" w:cs="Arial"/>
          <w:sz w:val="22"/>
        </w:rPr>
        <w:t xml:space="preserve">of implementing financial readiness and financial literacy into the Battalion and Company level is to build a high sense of urgency around the </w:t>
      </w:r>
      <w:r w:rsidR="001379A2">
        <w:rPr>
          <w:rFonts w:ascii="Arial" w:hAnsi="Arial" w:cs="Arial"/>
          <w:sz w:val="22"/>
        </w:rPr>
        <w:t>problem</w:t>
      </w:r>
      <w:r w:rsidR="00C60A0A">
        <w:rPr>
          <w:rFonts w:ascii="Arial" w:hAnsi="Arial" w:cs="Arial"/>
          <w:sz w:val="22"/>
        </w:rPr>
        <w:t>.  Kotter tells us we must address urgency by identifying and overcoming sources of complacency</w:t>
      </w:r>
      <w:r w:rsidR="00E2653D">
        <w:rPr>
          <w:rFonts w:ascii="Arial" w:hAnsi="Arial" w:cs="Arial"/>
          <w:sz w:val="22"/>
        </w:rPr>
        <w:t xml:space="preserve"> (Kotter, 1996)</w:t>
      </w:r>
      <w:r w:rsidR="0011588F">
        <w:rPr>
          <w:rFonts w:ascii="Arial" w:hAnsi="Arial" w:cs="Arial"/>
          <w:sz w:val="22"/>
        </w:rPr>
        <w:t>.</w:t>
      </w:r>
      <w:r w:rsidR="00C60A0A">
        <w:rPr>
          <w:rFonts w:ascii="Arial" w:hAnsi="Arial" w:cs="Arial"/>
          <w:sz w:val="22"/>
        </w:rPr>
        <w:t xml:space="preserve"> </w:t>
      </w:r>
      <w:r w:rsidR="001379A2">
        <w:rPr>
          <w:rFonts w:ascii="Arial" w:hAnsi="Arial" w:cs="Arial"/>
          <w:sz w:val="22"/>
        </w:rPr>
        <w:t xml:space="preserve">There is a lack of a visible crisis surrounding financial readiness in the Army Reserve as well as </w:t>
      </w:r>
      <w:r w:rsidR="00C60A0A">
        <w:rPr>
          <w:rFonts w:ascii="Arial" w:hAnsi="Arial" w:cs="Arial"/>
          <w:sz w:val="22"/>
        </w:rPr>
        <w:t xml:space="preserve">an organizational structure that focuses on the wrong performance indexes and </w:t>
      </w:r>
      <w:r w:rsidR="001379A2">
        <w:rPr>
          <w:rFonts w:ascii="Arial" w:hAnsi="Arial" w:cs="Arial"/>
          <w:sz w:val="22"/>
        </w:rPr>
        <w:t xml:space="preserve">the effects of </w:t>
      </w:r>
      <w:r w:rsidR="00C60A0A">
        <w:rPr>
          <w:rFonts w:ascii="Arial" w:hAnsi="Arial" w:cs="Arial"/>
          <w:sz w:val="22"/>
        </w:rPr>
        <w:t>human nature with its capacity for denial</w:t>
      </w:r>
      <w:r w:rsidR="0011588F">
        <w:rPr>
          <w:rFonts w:ascii="Arial" w:hAnsi="Arial" w:cs="Arial"/>
          <w:sz w:val="22"/>
        </w:rPr>
        <w:t xml:space="preserve"> (Kotter, 1996)</w:t>
      </w:r>
      <w:r w:rsidR="00C60A0A">
        <w:rPr>
          <w:rFonts w:ascii="Arial" w:hAnsi="Arial" w:cs="Arial"/>
          <w:sz w:val="22"/>
        </w:rPr>
        <w:t xml:space="preserve">.  The </w:t>
      </w:r>
      <w:r w:rsidR="00C60A0A" w:rsidRPr="001379A2">
        <w:rPr>
          <w:rFonts w:ascii="Arial" w:hAnsi="Arial" w:cs="Arial"/>
          <w:i/>
          <w:iCs/>
          <w:sz w:val="22"/>
        </w:rPr>
        <w:t>D</w:t>
      </w:r>
      <w:r w:rsidR="001379A2" w:rsidRPr="001379A2">
        <w:rPr>
          <w:rFonts w:ascii="Arial" w:hAnsi="Arial" w:cs="Arial"/>
          <w:i/>
          <w:iCs/>
          <w:sz w:val="22"/>
        </w:rPr>
        <w:t>epartment of Defense</w:t>
      </w:r>
      <w:r w:rsidR="00C60A0A" w:rsidRPr="001379A2">
        <w:rPr>
          <w:rFonts w:ascii="Arial" w:hAnsi="Arial" w:cs="Arial"/>
          <w:i/>
          <w:iCs/>
          <w:sz w:val="22"/>
        </w:rPr>
        <w:t xml:space="preserve"> Annual Report on Financial Literacy and Preparedness of Members of the Armed Forces</w:t>
      </w:r>
      <w:r w:rsidR="00C60A0A">
        <w:rPr>
          <w:rFonts w:ascii="Arial" w:hAnsi="Arial" w:cs="Arial"/>
          <w:sz w:val="22"/>
        </w:rPr>
        <w:t xml:space="preserve"> reports that within the Reserve Component from 2005 to 2016, less than 50% of junior enlisted soldiers</w:t>
      </w:r>
      <w:r w:rsidR="0011588F">
        <w:rPr>
          <w:rFonts w:ascii="Arial" w:hAnsi="Arial" w:cs="Arial"/>
          <w:sz w:val="22"/>
        </w:rPr>
        <w:t xml:space="preserve"> (Pay Grades E1 through E4)</w:t>
      </w:r>
      <w:r w:rsidR="00C60A0A">
        <w:rPr>
          <w:rFonts w:ascii="Arial" w:hAnsi="Arial" w:cs="Arial"/>
          <w:sz w:val="22"/>
        </w:rPr>
        <w:t xml:space="preserve"> reported comfortable financial conditions while in 2020, 28% of Reserve Soldiers among all pay grades reported having less than 1 month of emergency savings while another 34% had less than 3 months of emergency savings (</w:t>
      </w:r>
      <w:r w:rsidR="00E2653D" w:rsidRPr="00E2653D">
        <w:rPr>
          <w:rFonts w:ascii="Arial" w:hAnsi="Arial" w:cs="Arial"/>
          <w:sz w:val="22"/>
        </w:rPr>
        <w:t>Undersecretary of Defense for Personnel and Readiness</w:t>
      </w:r>
      <w:r w:rsidR="00C60A0A">
        <w:rPr>
          <w:rFonts w:ascii="Arial" w:hAnsi="Arial" w:cs="Arial"/>
          <w:sz w:val="22"/>
        </w:rPr>
        <w:t>, 2022). The crisis is present</w:t>
      </w:r>
      <w:r w:rsidR="0011588F">
        <w:rPr>
          <w:rFonts w:ascii="Arial" w:hAnsi="Arial" w:cs="Arial"/>
          <w:sz w:val="22"/>
        </w:rPr>
        <w:t xml:space="preserve"> but not communicated</w:t>
      </w:r>
      <w:r w:rsidR="001379A2">
        <w:rPr>
          <w:rFonts w:ascii="Arial" w:hAnsi="Arial" w:cs="Arial"/>
          <w:sz w:val="22"/>
        </w:rPr>
        <w:t>.</w:t>
      </w:r>
      <w:r w:rsidR="00C60A0A">
        <w:rPr>
          <w:rFonts w:ascii="Arial" w:hAnsi="Arial" w:cs="Arial"/>
          <w:sz w:val="22"/>
        </w:rPr>
        <w:t xml:space="preserve"> To create a sense of urgency among local Commanders, Unit Financial Readiness surveys will be conducted at the local level to evaluate the readiness of the Battalion.  This can be conducted through the office of financial readiness’s website which provides a survey commanders can distribute to Soldiers to solicit anonymous responses to gauge the status of their unit.</w:t>
      </w:r>
      <w:r w:rsidR="001379A2">
        <w:rPr>
          <w:rFonts w:ascii="Arial" w:hAnsi="Arial" w:cs="Arial"/>
          <w:sz w:val="22"/>
        </w:rPr>
        <w:t xml:space="preserve">  The survey is built to determine the status of Soldiers current financial </w:t>
      </w:r>
      <w:r w:rsidR="001379A2">
        <w:rPr>
          <w:rFonts w:ascii="Arial" w:hAnsi="Arial" w:cs="Arial"/>
          <w:sz w:val="22"/>
        </w:rPr>
        <w:lastRenderedPageBreak/>
        <w:t>security, future financial security, present freedom of choice</w:t>
      </w:r>
      <w:r w:rsidR="00480A16">
        <w:rPr>
          <w:rFonts w:ascii="Arial" w:hAnsi="Arial" w:cs="Arial"/>
          <w:sz w:val="22"/>
        </w:rPr>
        <w:t>,</w:t>
      </w:r>
      <w:r w:rsidR="001379A2">
        <w:rPr>
          <w:rFonts w:ascii="Arial" w:hAnsi="Arial" w:cs="Arial"/>
          <w:sz w:val="22"/>
        </w:rPr>
        <w:t xml:space="preserve"> and future freedom of choice.  </w:t>
      </w:r>
      <w:r w:rsidR="00480A16">
        <w:rPr>
          <w:rFonts w:ascii="Arial" w:hAnsi="Arial" w:cs="Arial"/>
          <w:sz w:val="22"/>
        </w:rPr>
        <w:t>The s</w:t>
      </w:r>
      <w:r w:rsidR="001379A2">
        <w:rPr>
          <w:rFonts w:ascii="Arial" w:hAnsi="Arial" w:cs="Arial"/>
          <w:sz w:val="22"/>
        </w:rPr>
        <w:t>urveys return numerical evaluation of these key performance indexes and can be averaged to determine a Command Financial Readiness Score.</w:t>
      </w:r>
      <w:r w:rsidR="00C60A0A">
        <w:rPr>
          <w:rFonts w:ascii="Arial" w:hAnsi="Arial" w:cs="Arial"/>
          <w:sz w:val="22"/>
        </w:rPr>
        <w:t xml:space="preserve">  The results of these surveys will bring to light the invisible crisis occurring in their units.  Additionally, this survey will shift focus to a performance index in need of consideration and prevent the ability to deny the financial situation of the fighting force.</w:t>
      </w:r>
      <w:r w:rsidR="00C60A0A">
        <w:rPr>
          <w:rFonts w:ascii="Arial" w:hAnsi="Arial" w:cs="Arial"/>
          <w:sz w:val="22"/>
        </w:rPr>
        <w:tab/>
      </w:r>
    </w:p>
    <w:p w14:paraId="5986CD13" w14:textId="39994092" w:rsidR="0011588F" w:rsidRPr="00992A1F" w:rsidRDefault="00C60A0A" w:rsidP="00992A1F">
      <w:pPr>
        <w:pStyle w:val="APABody"/>
        <w:ind w:firstLine="0"/>
        <w:rPr>
          <w:rFonts w:ascii="Arial" w:hAnsi="Arial" w:cs="Arial"/>
          <w:sz w:val="22"/>
        </w:rPr>
      </w:pPr>
      <w:r>
        <w:rPr>
          <w:rFonts w:ascii="Arial" w:hAnsi="Arial" w:cs="Arial"/>
          <w:sz w:val="22"/>
        </w:rPr>
        <w:tab/>
        <w:t>Kotter makes it clear the need for a fierce guiding coalition to ensure the right people are picked that are capable of influencing change</w:t>
      </w:r>
      <w:r w:rsidR="00E2653D">
        <w:rPr>
          <w:rFonts w:ascii="Arial" w:hAnsi="Arial" w:cs="Arial"/>
          <w:sz w:val="22"/>
        </w:rPr>
        <w:t xml:space="preserve"> (Kotter, 1996)</w:t>
      </w:r>
      <w:r>
        <w:rPr>
          <w:rFonts w:ascii="Arial" w:hAnsi="Arial" w:cs="Arial"/>
          <w:sz w:val="22"/>
        </w:rPr>
        <w:t>.  A Battalion Commander alone cannot influence change in their organization without the buy in of the proper staff members, subordinate commanders, and Senior Non-Commissioned Officers</w:t>
      </w:r>
      <w:r w:rsidR="001379A2">
        <w:rPr>
          <w:rFonts w:ascii="Arial" w:hAnsi="Arial" w:cs="Arial"/>
          <w:sz w:val="22"/>
        </w:rPr>
        <w:t xml:space="preserve"> (NCO’s)</w:t>
      </w:r>
      <w:r>
        <w:rPr>
          <w:rFonts w:ascii="Arial" w:hAnsi="Arial" w:cs="Arial"/>
          <w:sz w:val="22"/>
        </w:rPr>
        <w:t xml:space="preserve">.  </w:t>
      </w:r>
      <w:proofErr w:type="spellStart"/>
      <w:r>
        <w:rPr>
          <w:rFonts w:ascii="Arial" w:hAnsi="Arial" w:cs="Arial"/>
          <w:sz w:val="22"/>
        </w:rPr>
        <w:t>Martinich</w:t>
      </w:r>
      <w:proofErr w:type="spellEnd"/>
      <w:r>
        <w:rPr>
          <w:rFonts w:ascii="Arial" w:hAnsi="Arial" w:cs="Arial"/>
          <w:sz w:val="22"/>
        </w:rPr>
        <w:t xml:space="preserve"> describes an intriguing model that combines top-down and bottom-up</w:t>
      </w:r>
      <w:r w:rsidR="0011588F">
        <w:rPr>
          <w:rFonts w:ascii="Arial" w:hAnsi="Arial" w:cs="Arial"/>
          <w:sz w:val="22"/>
        </w:rPr>
        <w:t xml:space="preserve"> management</w:t>
      </w:r>
      <w:r>
        <w:rPr>
          <w:rFonts w:ascii="Arial" w:hAnsi="Arial" w:cs="Arial"/>
          <w:sz w:val="22"/>
        </w:rPr>
        <w:t xml:space="preserve"> where executives provide general direction while middle managers provide detailed execution (</w:t>
      </w:r>
      <w:proofErr w:type="spellStart"/>
      <w:r>
        <w:rPr>
          <w:rFonts w:ascii="Arial" w:hAnsi="Arial" w:cs="Arial"/>
          <w:sz w:val="22"/>
        </w:rPr>
        <w:t>Martinich</w:t>
      </w:r>
      <w:proofErr w:type="spellEnd"/>
      <w:r>
        <w:rPr>
          <w:rFonts w:ascii="Arial" w:hAnsi="Arial" w:cs="Arial"/>
          <w:sz w:val="22"/>
        </w:rPr>
        <w:t>, 2016).  This strategy aligns well within the Army structure and gives guidelines for the guiding coalition.  The member</w:t>
      </w:r>
      <w:r w:rsidR="0011588F">
        <w:rPr>
          <w:rFonts w:ascii="Arial" w:hAnsi="Arial" w:cs="Arial"/>
          <w:sz w:val="22"/>
        </w:rPr>
        <w:t>s of the guiding coalition</w:t>
      </w:r>
      <w:r>
        <w:rPr>
          <w:rFonts w:ascii="Arial" w:hAnsi="Arial" w:cs="Arial"/>
          <w:sz w:val="22"/>
        </w:rPr>
        <w:t xml:space="preserve"> for this initiative will include the Battalion Executive Officer, Operations Officer, Personnel Officer, Finance NCO, Battalion and Company Command teams</w:t>
      </w:r>
      <w:r w:rsidR="0011588F">
        <w:rPr>
          <w:rFonts w:ascii="Arial" w:hAnsi="Arial" w:cs="Arial"/>
          <w:sz w:val="22"/>
        </w:rPr>
        <w:t>, a financial readiness program manager,</w:t>
      </w:r>
      <w:r>
        <w:rPr>
          <w:rFonts w:ascii="Arial" w:hAnsi="Arial" w:cs="Arial"/>
          <w:sz w:val="22"/>
        </w:rPr>
        <w:t xml:space="preserve"> and duty appointed financial readiness </w:t>
      </w:r>
      <w:r w:rsidR="001379A2">
        <w:rPr>
          <w:rFonts w:ascii="Arial" w:hAnsi="Arial" w:cs="Arial"/>
          <w:sz w:val="22"/>
        </w:rPr>
        <w:t>NCO’s</w:t>
      </w:r>
      <w:r>
        <w:rPr>
          <w:rFonts w:ascii="Arial" w:hAnsi="Arial" w:cs="Arial"/>
          <w:sz w:val="22"/>
        </w:rPr>
        <w:t xml:space="preserve">. </w:t>
      </w:r>
      <w:r w:rsidR="001379A2">
        <w:rPr>
          <w:rFonts w:ascii="Arial" w:hAnsi="Arial" w:cs="Arial"/>
          <w:sz w:val="22"/>
        </w:rPr>
        <w:t xml:space="preserve">These individuals are properly positioned to perform their required functions in the change strategy.  Additionally, they provide needed experience in their areas of impact and have varying levels of proximity to the workforce to </w:t>
      </w:r>
      <w:r w:rsidR="00480A16">
        <w:rPr>
          <w:rFonts w:ascii="Arial" w:hAnsi="Arial" w:cs="Arial"/>
          <w:sz w:val="22"/>
        </w:rPr>
        <w:t>engage employees</w:t>
      </w:r>
      <w:r w:rsidR="001379A2">
        <w:rPr>
          <w:rFonts w:ascii="Arial" w:hAnsi="Arial" w:cs="Arial"/>
          <w:sz w:val="22"/>
        </w:rPr>
        <w:t xml:space="preserve"> while maintaining visibility.</w:t>
      </w:r>
      <w:r>
        <w:rPr>
          <w:rFonts w:ascii="Arial" w:hAnsi="Arial" w:cs="Arial"/>
          <w:sz w:val="22"/>
        </w:rPr>
        <w:t xml:space="preserve"> The duty appointed financial readiness NCO’s will be individuals with specific financial experience or </w:t>
      </w:r>
      <w:r w:rsidR="0011588F">
        <w:rPr>
          <w:rFonts w:ascii="Arial" w:hAnsi="Arial" w:cs="Arial"/>
          <w:sz w:val="22"/>
        </w:rPr>
        <w:t xml:space="preserve">intrinsic </w:t>
      </w:r>
      <w:r>
        <w:rPr>
          <w:rFonts w:ascii="Arial" w:hAnsi="Arial" w:cs="Arial"/>
          <w:sz w:val="22"/>
        </w:rPr>
        <w:t>interest</w:t>
      </w:r>
      <w:r w:rsidR="0011588F">
        <w:rPr>
          <w:rFonts w:ascii="Arial" w:hAnsi="Arial" w:cs="Arial"/>
          <w:sz w:val="22"/>
        </w:rPr>
        <w:t xml:space="preserve"> in financial readiness, located</w:t>
      </w:r>
      <w:r>
        <w:rPr>
          <w:rFonts w:ascii="Arial" w:hAnsi="Arial" w:cs="Arial"/>
          <w:sz w:val="22"/>
        </w:rPr>
        <w:t xml:space="preserve"> at the company level who will serve as the primary representatives at the unit to communicate with the workforce</w:t>
      </w:r>
      <w:r w:rsidR="0011588F">
        <w:rPr>
          <w:rFonts w:ascii="Arial" w:hAnsi="Arial" w:cs="Arial"/>
          <w:sz w:val="22"/>
        </w:rPr>
        <w:t>, provide feedback to the guiding coalition</w:t>
      </w:r>
      <w:r w:rsidR="00480A16">
        <w:rPr>
          <w:rFonts w:ascii="Arial" w:hAnsi="Arial" w:cs="Arial"/>
          <w:sz w:val="22"/>
        </w:rPr>
        <w:t>,</w:t>
      </w:r>
      <w:r>
        <w:rPr>
          <w:rFonts w:ascii="Arial" w:hAnsi="Arial" w:cs="Arial"/>
          <w:sz w:val="22"/>
        </w:rPr>
        <w:t xml:space="preserve"> and implement the initiatives</w:t>
      </w:r>
      <w:r w:rsidR="001379A2">
        <w:rPr>
          <w:rFonts w:ascii="Arial" w:hAnsi="Arial" w:cs="Arial"/>
          <w:sz w:val="22"/>
        </w:rPr>
        <w:t>.</w:t>
      </w:r>
    </w:p>
    <w:p w14:paraId="340BBA13" w14:textId="64048623" w:rsidR="00D10D9A" w:rsidRPr="00992A1F" w:rsidRDefault="00830745" w:rsidP="00D10D9A">
      <w:pPr>
        <w:pStyle w:val="APABody"/>
        <w:ind w:firstLine="0"/>
        <w:jc w:val="center"/>
        <w:rPr>
          <w:rFonts w:ascii="Arial" w:hAnsi="Arial" w:cs="Arial"/>
          <w:b/>
          <w:bCs/>
          <w:sz w:val="22"/>
        </w:rPr>
      </w:pPr>
      <w:r>
        <w:rPr>
          <w:rFonts w:ascii="Arial" w:hAnsi="Arial" w:cs="Arial"/>
          <w:b/>
          <w:bCs/>
          <w:sz w:val="22"/>
        </w:rPr>
        <w:t>Developing and Communicating a Vision and Strategy</w:t>
      </w:r>
    </w:p>
    <w:p w14:paraId="5D5275DD" w14:textId="20420754" w:rsidR="00C60A0A" w:rsidRDefault="00DD140A" w:rsidP="00D10D9A">
      <w:pPr>
        <w:pStyle w:val="APABody"/>
        <w:ind w:firstLine="0"/>
        <w:rPr>
          <w:rFonts w:ascii="Arial" w:hAnsi="Arial" w:cs="Arial"/>
          <w:sz w:val="22"/>
        </w:rPr>
      </w:pPr>
      <w:r w:rsidRPr="00992A1F">
        <w:rPr>
          <w:rFonts w:ascii="Arial" w:hAnsi="Arial" w:cs="Arial"/>
          <w:b/>
          <w:bCs/>
          <w:sz w:val="22"/>
        </w:rPr>
        <w:tab/>
      </w:r>
      <w:r w:rsidR="00C60A0A">
        <w:rPr>
          <w:rFonts w:ascii="Arial" w:hAnsi="Arial" w:cs="Arial"/>
          <w:sz w:val="22"/>
        </w:rPr>
        <w:t xml:space="preserve">A firm vision highlights to the workforce the intent of the change initiative.  The vision must create a picture of the future that will be created by the initiative and catches the long-term </w:t>
      </w:r>
      <w:r w:rsidR="00C60A0A">
        <w:rPr>
          <w:rFonts w:ascii="Arial" w:hAnsi="Arial" w:cs="Arial"/>
          <w:sz w:val="22"/>
        </w:rPr>
        <w:lastRenderedPageBreak/>
        <w:t>interest of the workforce. It feels attainable to those charged with implementation and is focused enough to provide direction yet flexible enough to allow for implementation and can be easily communicated (Kotter, 1996).  The vision for this change initiative is as follows:</w:t>
      </w:r>
    </w:p>
    <w:p w14:paraId="012489FD" w14:textId="43C3DBBD" w:rsidR="00C60A0A" w:rsidRDefault="001379A2" w:rsidP="00D10D9A">
      <w:pPr>
        <w:pStyle w:val="APABody"/>
        <w:ind w:firstLine="0"/>
        <w:rPr>
          <w:rFonts w:ascii="Arial" w:hAnsi="Arial" w:cs="Arial"/>
          <w:sz w:val="22"/>
        </w:rPr>
      </w:pPr>
      <w:r>
        <w:rPr>
          <w:rFonts w:ascii="Arial" w:hAnsi="Arial" w:cs="Arial"/>
          <w:sz w:val="22"/>
        </w:rPr>
        <w:tab/>
      </w:r>
      <w:r w:rsidR="00C60A0A">
        <w:rPr>
          <w:rFonts w:ascii="Arial" w:hAnsi="Arial" w:cs="Arial"/>
          <w:sz w:val="22"/>
        </w:rPr>
        <w:t xml:space="preserve"> “It is our goal to promote and enable Soldiers to reach financial security through financial literacy training.  Financial security will promote throughout the fighting force the ability to provide for their basic needs and grow a sense of security. Soldiers need to feel secure on the Homefront to be successful abroad.  Promoting the well-being of Soldiers and their loved ones is the focal point of a true “People First” organization.  It will require continued long-term effort and regular training opportunities as well as command intervention where and when possible.  We truly believe our Soldiers make incredible sacrifices for their country</w:t>
      </w:r>
      <w:r w:rsidR="00E2653D">
        <w:rPr>
          <w:rFonts w:ascii="Arial" w:hAnsi="Arial" w:cs="Arial"/>
          <w:sz w:val="22"/>
        </w:rPr>
        <w:t xml:space="preserve"> </w:t>
      </w:r>
      <w:r w:rsidR="00C60A0A">
        <w:rPr>
          <w:rFonts w:ascii="Arial" w:hAnsi="Arial" w:cs="Arial"/>
          <w:sz w:val="22"/>
        </w:rPr>
        <w:t>and their units and it is their right to be offered as much opportunity as we can provide for this sacrifice.”</w:t>
      </w:r>
    </w:p>
    <w:p w14:paraId="154A64D2" w14:textId="7CD4085F" w:rsidR="00C60A0A" w:rsidRDefault="00C60A0A" w:rsidP="00D10D9A">
      <w:pPr>
        <w:pStyle w:val="APABody"/>
        <w:ind w:firstLine="0"/>
        <w:rPr>
          <w:rFonts w:ascii="Arial" w:hAnsi="Arial" w:cs="Arial"/>
          <w:sz w:val="22"/>
        </w:rPr>
      </w:pPr>
      <w:r>
        <w:rPr>
          <w:rFonts w:ascii="Arial" w:hAnsi="Arial" w:cs="Arial"/>
          <w:sz w:val="22"/>
        </w:rPr>
        <w:tab/>
        <w:t xml:space="preserve">This vision can be easily communicated throughout the organization and leverages key insight into human motivation to encourage employee and middle management </w:t>
      </w:r>
      <w:r w:rsidR="00480A16">
        <w:rPr>
          <w:rFonts w:ascii="Arial" w:hAnsi="Arial" w:cs="Arial"/>
          <w:sz w:val="22"/>
        </w:rPr>
        <w:t>engagement</w:t>
      </w:r>
      <w:r>
        <w:rPr>
          <w:rFonts w:ascii="Arial" w:hAnsi="Arial" w:cs="Arial"/>
          <w:sz w:val="22"/>
        </w:rPr>
        <w:t xml:space="preserve">.  The vision speaks to providing for the basic needs and sense of security for Soldiers, the two foundational levels of Maslow’s hierarchy of needs, as well as the promotion of their personal lives and family (Maslow, 1943).  The vision will be communicated </w:t>
      </w:r>
      <w:r w:rsidR="00E2653D">
        <w:rPr>
          <w:rFonts w:ascii="Arial" w:hAnsi="Arial" w:cs="Arial"/>
          <w:sz w:val="22"/>
        </w:rPr>
        <w:t>using</w:t>
      </w:r>
      <w:r>
        <w:rPr>
          <w:rFonts w:ascii="Arial" w:hAnsi="Arial" w:cs="Arial"/>
          <w:sz w:val="22"/>
        </w:rPr>
        <w:t xml:space="preserve"> multiple forums</w:t>
      </w:r>
      <w:r w:rsidR="001379A2">
        <w:rPr>
          <w:rFonts w:ascii="Arial" w:hAnsi="Arial" w:cs="Arial"/>
          <w:sz w:val="22"/>
        </w:rPr>
        <w:t>,</w:t>
      </w:r>
      <w:r>
        <w:rPr>
          <w:rFonts w:ascii="Arial" w:hAnsi="Arial" w:cs="Arial"/>
          <w:sz w:val="22"/>
        </w:rPr>
        <w:t xml:space="preserve"> specifically the use of the monthly newsletter, </w:t>
      </w:r>
      <w:r w:rsidR="001379A2">
        <w:rPr>
          <w:rFonts w:ascii="Arial" w:hAnsi="Arial" w:cs="Arial"/>
          <w:sz w:val="22"/>
        </w:rPr>
        <w:t>creation,</w:t>
      </w:r>
      <w:r>
        <w:rPr>
          <w:rFonts w:ascii="Arial" w:hAnsi="Arial" w:cs="Arial"/>
          <w:sz w:val="22"/>
        </w:rPr>
        <w:t xml:space="preserve"> and distribution of Battalion Policy memos, during unit formations</w:t>
      </w:r>
      <w:r w:rsidR="001379A2">
        <w:rPr>
          <w:rFonts w:ascii="Arial" w:hAnsi="Arial" w:cs="Arial"/>
          <w:sz w:val="22"/>
        </w:rPr>
        <w:t>,</w:t>
      </w:r>
      <w:r>
        <w:rPr>
          <w:rFonts w:ascii="Arial" w:hAnsi="Arial" w:cs="Arial"/>
          <w:sz w:val="22"/>
        </w:rPr>
        <w:t xml:space="preserve"> and through focus groups while receiving feedback on the implementation of the program.</w:t>
      </w:r>
    </w:p>
    <w:p w14:paraId="71023767" w14:textId="65592DFB" w:rsidR="00C60A0A" w:rsidRDefault="00C60A0A" w:rsidP="00D10D9A">
      <w:pPr>
        <w:pStyle w:val="APABody"/>
        <w:ind w:firstLine="0"/>
        <w:rPr>
          <w:rFonts w:ascii="Arial" w:hAnsi="Arial" w:cs="Arial"/>
          <w:sz w:val="22"/>
        </w:rPr>
      </w:pPr>
      <w:r>
        <w:rPr>
          <w:rFonts w:ascii="Arial" w:hAnsi="Arial" w:cs="Arial"/>
          <w:sz w:val="22"/>
        </w:rPr>
        <w:tab/>
        <w:t>The strategy for this change initiative focuses on employment of training programs, tracking measures</w:t>
      </w:r>
      <w:r w:rsidR="00480A16">
        <w:rPr>
          <w:rFonts w:ascii="Arial" w:hAnsi="Arial" w:cs="Arial"/>
          <w:sz w:val="22"/>
        </w:rPr>
        <w:t>,</w:t>
      </w:r>
      <w:r>
        <w:rPr>
          <w:rFonts w:ascii="Arial" w:hAnsi="Arial" w:cs="Arial"/>
          <w:sz w:val="22"/>
        </w:rPr>
        <w:t xml:space="preserve"> and local involvement.  Local involvement refers to the selection and use of financial readiness </w:t>
      </w:r>
      <w:r w:rsidR="001379A2">
        <w:rPr>
          <w:rFonts w:ascii="Arial" w:hAnsi="Arial" w:cs="Arial"/>
          <w:sz w:val="22"/>
        </w:rPr>
        <w:t>NCOs</w:t>
      </w:r>
      <w:r>
        <w:rPr>
          <w:rFonts w:ascii="Arial" w:hAnsi="Arial" w:cs="Arial"/>
          <w:sz w:val="22"/>
        </w:rPr>
        <w:t xml:space="preserve"> at each company</w:t>
      </w:r>
      <w:r w:rsidR="001379A2">
        <w:rPr>
          <w:rFonts w:ascii="Arial" w:hAnsi="Arial" w:cs="Arial"/>
          <w:sz w:val="22"/>
        </w:rPr>
        <w:t xml:space="preserve"> (these are the same individuals who were earlier identified as members of the guiding coalition)</w:t>
      </w:r>
      <w:r>
        <w:rPr>
          <w:rFonts w:ascii="Arial" w:hAnsi="Arial" w:cs="Arial"/>
          <w:sz w:val="22"/>
        </w:rPr>
        <w:t>.  These individuals will be selected and trained on the resources available to their units as well as the training requirements they will need to establish and provide to their units.  Further</w:t>
      </w:r>
      <w:r w:rsidR="00480A16">
        <w:rPr>
          <w:rFonts w:ascii="Arial" w:hAnsi="Arial" w:cs="Arial"/>
          <w:sz w:val="22"/>
        </w:rPr>
        <w:t>,</w:t>
      </w:r>
      <w:r>
        <w:rPr>
          <w:rFonts w:ascii="Arial" w:hAnsi="Arial" w:cs="Arial"/>
          <w:sz w:val="22"/>
        </w:rPr>
        <w:t xml:space="preserve"> the financial readiness personnel will be responsible for the administration of the tracking measures being implemented. Two forms of </w:t>
      </w:r>
      <w:r>
        <w:rPr>
          <w:rFonts w:ascii="Arial" w:hAnsi="Arial" w:cs="Arial"/>
          <w:sz w:val="22"/>
        </w:rPr>
        <w:lastRenderedPageBreak/>
        <w:t xml:space="preserve">tracking measures will be implemented to support the units as well as provide regular feedback on the effectiveness or ineffectiveness of the program.  The first measure will be quarterly command financial well-being surveys as outlined previously in creating a sense of urgency, and the second is a method of receiving and tracking reports of serious financial incidents.  The Battalion Operations section will be responsible for receiving and tracking the reports of financial crisis such as potential homelessness or the inability to provide for basic needs. The personnel office will be responsible for coordinating and assisting in providing available resources to Soldiers in crisis.  The Command teams will be responsible for mandating the reporting requirements of these incidents.  Finally, the strategy will revolve around the coordination and securing of personal financial counselors to provide quarterly group training and individual </w:t>
      </w:r>
      <w:r w:rsidR="0011588F">
        <w:rPr>
          <w:rFonts w:ascii="Arial" w:hAnsi="Arial" w:cs="Arial"/>
          <w:sz w:val="22"/>
        </w:rPr>
        <w:t>needs-based</w:t>
      </w:r>
      <w:r>
        <w:rPr>
          <w:rFonts w:ascii="Arial" w:hAnsi="Arial" w:cs="Arial"/>
          <w:sz w:val="22"/>
        </w:rPr>
        <w:t xml:space="preserve"> counseling.  Soldiers will be evaluated for critical milestones and annual training </w:t>
      </w:r>
      <w:r w:rsidR="0011588F">
        <w:rPr>
          <w:rFonts w:ascii="Arial" w:hAnsi="Arial" w:cs="Arial"/>
          <w:sz w:val="22"/>
        </w:rPr>
        <w:t>using</w:t>
      </w:r>
      <w:r>
        <w:rPr>
          <w:rFonts w:ascii="Arial" w:hAnsi="Arial" w:cs="Arial"/>
          <w:sz w:val="22"/>
        </w:rPr>
        <w:t xml:space="preserve"> the Commanders Risk Reduction tool.  Soldiers who have met these milestones or become overdue for annual training will participate in the quarterly counseling coordinated by their unit.  The financial readiness NCO’s will be responsible for the coordination of these counselors which can be provided at no cost to the units through the </w:t>
      </w:r>
      <w:r w:rsidR="00480A16">
        <w:rPr>
          <w:rFonts w:ascii="Arial" w:hAnsi="Arial" w:cs="Arial"/>
          <w:sz w:val="22"/>
        </w:rPr>
        <w:t>“</w:t>
      </w:r>
      <w:r>
        <w:rPr>
          <w:rFonts w:ascii="Arial" w:hAnsi="Arial" w:cs="Arial"/>
          <w:sz w:val="22"/>
        </w:rPr>
        <w:t>FINRED</w:t>
      </w:r>
      <w:r w:rsidR="00480A16">
        <w:rPr>
          <w:rFonts w:ascii="Arial" w:hAnsi="Arial" w:cs="Arial"/>
          <w:sz w:val="22"/>
        </w:rPr>
        <w:t>”</w:t>
      </w:r>
      <w:r>
        <w:rPr>
          <w:rFonts w:ascii="Arial" w:hAnsi="Arial" w:cs="Arial"/>
          <w:sz w:val="22"/>
        </w:rPr>
        <w:t xml:space="preserve"> website.  Soldiers meeting certain milestone requirements</w:t>
      </w:r>
      <w:r w:rsidR="00480A16">
        <w:rPr>
          <w:rFonts w:ascii="Arial" w:hAnsi="Arial" w:cs="Arial"/>
          <w:sz w:val="22"/>
        </w:rPr>
        <w:t>,</w:t>
      </w:r>
      <w:r>
        <w:rPr>
          <w:rFonts w:ascii="Arial" w:hAnsi="Arial" w:cs="Arial"/>
          <w:sz w:val="22"/>
        </w:rPr>
        <w:t xml:space="preserve"> such as the birth of a child or a divorce, or Soldiers requesting additional support will be afforded the opportunity to meet personally with the personal financial counselor after the quarterly briefing or by appointment coordinated through the financial readiness NCO.</w:t>
      </w:r>
      <w:r w:rsidR="00E2653D">
        <w:rPr>
          <w:rFonts w:ascii="Arial" w:hAnsi="Arial" w:cs="Arial"/>
          <w:sz w:val="22"/>
        </w:rPr>
        <w:t xml:space="preserve">  As this strategy is implemented, Demings PDCA should be utilized to find what is working and what is not after implementation.  This process happens as the model states</w:t>
      </w:r>
      <w:r w:rsidR="00480A16">
        <w:rPr>
          <w:rFonts w:ascii="Arial" w:hAnsi="Arial" w:cs="Arial"/>
          <w:sz w:val="22"/>
        </w:rPr>
        <w:t>.</w:t>
      </w:r>
      <w:r w:rsidR="00E2653D">
        <w:rPr>
          <w:rFonts w:ascii="Arial" w:hAnsi="Arial" w:cs="Arial"/>
          <w:sz w:val="22"/>
        </w:rPr>
        <w:t xml:space="preserve"> </w:t>
      </w:r>
      <w:r w:rsidR="00480A16">
        <w:rPr>
          <w:rFonts w:ascii="Arial" w:hAnsi="Arial" w:cs="Arial"/>
          <w:sz w:val="22"/>
        </w:rPr>
        <w:t>T</w:t>
      </w:r>
      <w:r w:rsidR="00E2653D">
        <w:rPr>
          <w:rFonts w:ascii="Arial" w:hAnsi="Arial" w:cs="Arial"/>
          <w:sz w:val="22"/>
        </w:rPr>
        <w:t>he strategy has been planned, n</w:t>
      </w:r>
      <w:r w:rsidR="00480A16">
        <w:rPr>
          <w:rFonts w:ascii="Arial" w:hAnsi="Arial" w:cs="Arial"/>
          <w:sz w:val="22"/>
        </w:rPr>
        <w:t>ow</w:t>
      </w:r>
      <w:r w:rsidR="00E2653D">
        <w:rPr>
          <w:rFonts w:ascii="Arial" w:hAnsi="Arial" w:cs="Arial"/>
          <w:sz w:val="22"/>
        </w:rPr>
        <w:t xml:space="preserve"> it will be </w:t>
      </w:r>
      <w:r w:rsidR="001379A2">
        <w:rPr>
          <w:rFonts w:ascii="Arial" w:hAnsi="Arial" w:cs="Arial"/>
          <w:sz w:val="22"/>
        </w:rPr>
        <w:t>actioned.</w:t>
      </w:r>
      <w:r w:rsidR="00E2653D">
        <w:rPr>
          <w:rFonts w:ascii="Arial" w:hAnsi="Arial" w:cs="Arial"/>
          <w:sz w:val="22"/>
        </w:rPr>
        <w:t xml:space="preserve"> </w:t>
      </w:r>
      <w:r w:rsidR="001379A2">
        <w:rPr>
          <w:rFonts w:ascii="Arial" w:hAnsi="Arial" w:cs="Arial"/>
          <w:sz w:val="22"/>
        </w:rPr>
        <w:t>Next,</w:t>
      </w:r>
      <w:r w:rsidR="00E2653D">
        <w:rPr>
          <w:rFonts w:ascii="Arial" w:hAnsi="Arial" w:cs="Arial"/>
          <w:sz w:val="22"/>
        </w:rPr>
        <w:t xml:space="preserve"> an after-action review will be conducted effectively “checking” the success or failure of that portion of the process and action will be taken as necessary to correct the deficiencies and lock in the successes (Deming, 1994).  The PDCA model should be used on the group counseling model, the effectiveness of the local leader’s involvement and the feasibility and success of the tracking </w:t>
      </w:r>
      <w:r w:rsidR="00E2653D">
        <w:rPr>
          <w:rFonts w:ascii="Arial" w:hAnsi="Arial" w:cs="Arial"/>
          <w:sz w:val="22"/>
        </w:rPr>
        <w:lastRenderedPageBreak/>
        <w:t>methods.  The model is used iteratively until all aspects are successful and operating as desired.</w:t>
      </w:r>
    </w:p>
    <w:p w14:paraId="523C55CA" w14:textId="360E771F" w:rsidR="001379A2" w:rsidRPr="001379A2" w:rsidRDefault="0011588F" w:rsidP="001379A2">
      <w:pPr>
        <w:pStyle w:val="APABody"/>
        <w:ind w:firstLine="0"/>
        <w:rPr>
          <w:rFonts w:ascii="Arial" w:hAnsi="Arial" w:cs="Arial"/>
          <w:sz w:val="22"/>
        </w:rPr>
      </w:pPr>
      <w:r>
        <w:rPr>
          <w:rFonts w:ascii="Arial" w:hAnsi="Arial" w:cs="Arial"/>
          <w:sz w:val="22"/>
        </w:rPr>
        <w:tab/>
        <w:t xml:space="preserve">At this stage in the process, an </w:t>
      </w:r>
      <w:r w:rsidR="00E2653D">
        <w:rPr>
          <w:rFonts w:ascii="Arial" w:hAnsi="Arial" w:cs="Arial"/>
          <w:sz w:val="22"/>
        </w:rPr>
        <w:t>in-progress</w:t>
      </w:r>
      <w:r>
        <w:rPr>
          <w:rFonts w:ascii="Arial" w:hAnsi="Arial" w:cs="Arial"/>
          <w:sz w:val="22"/>
        </w:rPr>
        <w:t xml:space="preserve"> review will be conducted by the guiding coalition to measure if there is a strong enough sense of urgency, if the participating members of the guiding coalition are adequate or if there are other key individuals who need to be added to the coalition</w:t>
      </w:r>
      <w:r w:rsidR="00480A16">
        <w:rPr>
          <w:rFonts w:ascii="Arial" w:hAnsi="Arial" w:cs="Arial"/>
          <w:sz w:val="22"/>
        </w:rPr>
        <w:t>,</w:t>
      </w:r>
      <w:r>
        <w:rPr>
          <w:rFonts w:ascii="Arial" w:hAnsi="Arial" w:cs="Arial"/>
          <w:sz w:val="22"/>
        </w:rPr>
        <w:t xml:space="preserve"> and i</w:t>
      </w:r>
      <w:r w:rsidR="00480A16">
        <w:rPr>
          <w:rFonts w:ascii="Arial" w:hAnsi="Arial" w:cs="Arial"/>
          <w:sz w:val="22"/>
        </w:rPr>
        <w:t>f</w:t>
      </w:r>
      <w:r>
        <w:rPr>
          <w:rFonts w:ascii="Arial" w:hAnsi="Arial" w:cs="Arial"/>
          <w:sz w:val="22"/>
        </w:rPr>
        <w:t xml:space="preserve"> the vision aligns with the strategy or if one should be adjusted to better match the other.</w:t>
      </w:r>
    </w:p>
    <w:p w14:paraId="52C69B77" w14:textId="2DB6A09C" w:rsidR="0019441C" w:rsidRPr="00992A1F" w:rsidRDefault="00830745" w:rsidP="0019441C">
      <w:pPr>
        <w:pStyle w:val="APABody"/>
        <w:ind w:firstLine="0"/>
        <w:jc w:val="center"/>
        <w:rPr>
          <w:rFonts w:ascii="Arial" w:hAnsi="Arial" w:cs="Arial"/>
          <w:b/>
          <w:bCs/>
          <w:sz w:val="22"/>
        </w:rPr>
      </w:pPr>
      <w:r>
        <w:rPr>
          <w:rFonts w:ascii="Arial" w:hAnsi="Arial" w:cs="Arial"/>
          <w:b/>
          <w:bCs/>
          <w:sz w:val="22"/>
        </w:rPr>
        <w:t>Empowering</w:t>
      </w:r>
      <w:r w:rsidR="0011588F">
        <w:rPr>
          <w:rFonts w:ascii="Arial" w:hAnsi="Arial" w:cs="Arial"/>
          <w:b/>
          <w:bCs/>
          <w:sz w:val="22"/>
        </w:rPr>
        <w:t xml:space="preserve"> Employees for Broad Based</w:t>
      </w:r>
      <w:r>
        <w:rPr>
          <w:rFonts w:ascii="Arial" w:hAnsi="Arial" w:cs="Arial"/>
          <w:b/>
          <w:bCs/>
          <w:sz w:val="22"/>
        </w:rPr>
        <w:t xml:space="preserve"> Action</w:t>
      </w:r>
    </w:p>
    <w:p w14:paraId="715C772B" w14:textId="25237926" w:rsidR="0011588F" w:rsidRDefault="00DD140A" w:rsidP="00D10D9A">
      <w:pPr>
        <w:pStyle w:val="APABody"/>
        <w:ind w:firstLine="0"/>
        <w:rPr>
          <w:rFonts w:ascii="Arial" w:hAnsi="Arial" w:cs="Arial"/>
          <w:sz w:val="22"/>
        </w:rPr>
      </w:pPr>
      <w:r w:rsidRPr="00992A1F">
        <w:rPr>
          <w:rFonts w:ascii="Arial" w:hAnsi="Arial" w:cs="Arial"/>
          <w:b/>
          <w:bCs/>
          <w:sz w:val="22"/>
        </w:rPr>
        <w:tab/>
      </w:r>
      <w:r w:rsidR="0011588F">
        <w:rPr>
          <w:rFonts w:ascii="Arial" w:hAnsi="Arial" w:cs="Arial"/>
          <w:sz w:val="22"/>
        </w:rPr>
        <w:t>Empowering employees for broad based action</w:t>
      </w:r>
      <w:r w:rsidR="00992A1F" w:rsidRPr="00992A1F">
        <w:rPr>
          <w:rFonts w:ascii="Arial" w:hAnsi="Arial" w:cs="Arial"/>
          <w:sz w:val="22"/>
        </w:rPr>
        <w:t xml:space="preserve"> </w:t>
      </w:r>
      <w:r w:rsidR="0011588F">
        <w:rPr>
          <w:rFonts w:ascii="Arial" w:hAnsi="Arial" w:cs="Arial"/>
          <w:sz w:val="22"/>
        </w:rPr>
        <w:t>require</w:t>
      </w:r>
      <w:r w:rsidR="001379A2">
        <w:rPr>
          <w:rFonts w:ascii="Arial" w:hAnsi="Arial" w:cs="Arial"/>
          <w:sz w:val="22"/>
        </w:rPr>
        <w:t>s</w:t>
      </w:r>
      <w:r w:rsidR="0011588F">
        <w:rPr>
          <w:rFonts w:ascii="Arial" w:hAnsi="Arial" w:cs="Arial"/>
          <w:sz w:val="22"/>
        </w:rPr>
        <w:t xml:space="preserve"> leaders to identify and remove obstacles from the path of the change initiative. To achieve this, Kotter provides a guide that involves continuing to communicate the vision of the change, provide training that employees need, align systems to promote the change and confront supervisors who undercut needed change (Kotter, 1996). </w:t>
      </w:r>
    </w:p>
    <w:p w14:paraId="7582A045" w14:textId="669B742B" w:rsidR="001379A2" w:rsidRDefault="0011588F" w:rsidP="00D10D9A">
      <w:pPr>
        <w:pStyle w:val="APABody"/>
        <w:ind w:firstLine="0"/>
        <w:rPr>
          <w:rFonts w:ascii="Arial" w:hAnsi="Arial" w:cs="Arial"/>
          <w:sz w:val="22"/>
        </w:rPr>
      </w:pPr>
      <w:r>
        <w:rPr>
          <w:rFonts w:ascii="Arial" w:hAnsi="Arial" w:cs="Arial"/>
          <w:sz w:val="22"/>
        </w:rPr>
        <w:tab/>
      </w:r>
      <w:r w:rsidR="001379A2">
        <w:rPr>
          <w:rFonts w:ascii="Arial" w:hAnsi="Arial" w:cs="Arial"/>
          <w:sz w:val="22"/>
        </w:rPr>
        <w:t>Continuation</w:t>
      </w:r>
      <w:r>
        <w:rPr>
          <w:rFonts w:ascii="Arial" w:hAnsi="Arial" w:cs="Arial"/>
          <w:sz w:val="22"/>
        </w:rPr>
        <w:t xml:space="preserve"> of the</w:t>
      </w:r>
      <w:r w:rsidR="001379A2">
        <w:rPr>
          <w:rFonts w:ascii="Arial" w:hAnsi="Arial" w:cs="Arial"/>
          <w:sz w:val="22"/>
        </w:rPr>
        <w:t xml:space="preserve"> communication</w:t>
      </w:r>
      <w:r>
        <w:rPr>
          <w:rFonts w:ascii="Arial" w:hAnsi="Arial" w:cs="Arial"/>
          <w:sz w:val="22"/>
        </w:rPr>
        <w:t xml:space="preserve"> strategy is critical.  As an established program, each unit should provide a bulletin board for their financial readiness NCO to post critical information about the program for Soldiers to reference, as well as resources at the Soldiers disposal.  These boards are utilized in a myriad of similar programs such as sexual harassment and assault response and prevention, equal opportunity, suicide prevention and substance abuse prevention.  Since these bulletin boards are in use and Soldiers are accustomed to communication in this manner, the existing communication strategy should be leveraged and directed in the Battalions Financial Readiness Program policy memo.  </w:t>
      </w:r>
      <w:r>
        <w:rPr>
          <w:rFonts w:ascii="Arial" w:hAnsi="Arial" w:cs="Arial"/>
          <w:sz w:val="22"/>
        </w:rPr>
        <w:tab/>
      </w:r>
    </w:p>
    <w:p w14:paraId="3255C4EC" w14:textId="3F348F36" w:rsidR="00D10D9A" w:rsidRDefault="001379A2" w:rsidP="00D10D9A">
      <w:pPr>
        <w:pStyle w:val="APABody"/>
        <w:ind w:firstLine="0"/>
        <w:rPr>
          <w:rFonts w:ascii="Arial" w:hAnsi="Arial" w:cs="Arial"/>
          <w:sz w:val="22"/>
        </w:rPr>
      </w:pPr>
      <w:r>
        <w:rPr>
          <w:rFonts w:ascii="Arial" w:hAnsi="Arial" w:cs="Arial"/>
          <w:sz w:val="22"/>
        </w:rPr>
        <w:tab/>
      </w:r>
      <w:r w:rsidR="0011588F">
        <w:rPr>
          <w:rFonts w:ascii="Arial" w:hAnsi="Arial" w:cs="Arial"/>
          <w:sz w:val="22"/>
        </w:rPr>
        <w:t>The Department of Defense is very clear that the only individuals who can provide financial readiness training and counselling are certified personal finance counselors</w:t>
      </w:r>
      <w:r>
        <w:rPr>
          <w:rFonts w:ascii="Arial" w:hAnsi="Arial" w:cs="Arial"/>
          <w:sz w:val="22"/>
        </w:rPr>
        <w:t>.</w:t>
      </w:r>
      <w:r w:rsidR="0011588F">
        <w:rPr>
          <w:rFonts w:ascii="Arial" w:hAnsi="Arial" w:cs="Arial"/>
          <w:sz w:val="22"/>
        </w:rPr>
        <w:t xml:space="preserve"> </w:t>
      </w:r>
      <w:r>
        <w:rPr>
          <w:rFonts w:ascii="Arial" w:hAnsi="Arial" w:cs="Arial"/>
          <w:sz w:val="22"/>
        </w:rPr>
        <w:t>N</w:t>
      </w:r>
      <w:r w:rsidR="0011588F">
        <w:rPr>
          <w:rFonts w:ascii="Arial" w:hAnsi="Arial" w:cs="Arial"/>
          <w:sz w:val="22"/>
        </w:rPr>
        <w:t xml:space="preserve">o training is available to certify </w:t>
      </w:r>
      <w:r>
        <w:rPr>
          <w:rFonts w:ascii="Arial" w:hAnsi="Arial" w:cs="Arial"/>
          <w:sz w:val="22"/>
        </w:rPr>
        <w:t xml:space="preserve">existing </w:t>
      </w:r>
      <w:r w:rsidR="0011588F">
        <w:rPr>
          <w:rFonts w:ascii="Arial" w:hAnsi="Arial" w:cs="Arial"/>
          <w:sz w:val="22"/>
        </w:rPr>
        <w:t xml:space="preserve">employees to this standard.  However, as pointed out in the strategy, there are personal financial counselors available that can be coordinated for regularly scheduled use.  </w:t>
      </w:r>
      <w:r>
        <w:rPr>
          <w:rFonts w:ascii="Arial" w:hAnsi="Arial" w:cs="Arial"/>
          <w:sz w:val="22"/>
        </w:rPr>
        <w:t>Training from the personal financial counselors</w:t>
      </w:r>
      <w:r w:rsidR="0011588F">
        <w:rPr>
          <w:rFonts w:ascii="Arial" w:hAnsi="Arial" w:cs="Arial"/>
          <w:sz w:val="22"/>
        </w:rPr>
        <w:t xml:space="preserve"> will be provided to the </w:t>
      </w:r>
      <w:r w:rsidR="0011588F">
        <w:rPr>
          <w:rFonts w:ascii="Arial" w:hAnsi="Arial" w:cs="Arial"/>
          <w:sz w:val="22"/>
        </w:rPr>
        <w:lastRenderedPageBreak/>
        <w:t xml:space="preserve">workforce, </w:t>
      </w:r>
      <w:r>
        <w:rPr>
          <w:rFonts w:ascii="Arial" w:hAnsi="Arial" w:cs="Arial"/>
          <w:sz w:val="22"/>
        </w:rPr>
        <w:t xml:space="preserve">and </w:t>
      </w:r>
      <w:r w:rsidR="0011588F">
        <w:rPr>
          <w:rFonts w:ascii="Arial" w:hAnsi="Arial" w:cs="Arial"/>
          <w:sz w:val="22"/>
        </w:rPr>
        <w:t xml:space="preserve">training on developing the unit programs as well as coordinating support and awareness of vital resources </w:t>
      </w:r>
      <w:r>
        <w:rPr>
          <w:rFonts w:ascii="Arial" w:hAnsi="Arial" w:cs="Arial"/>
          <w:sz w:val="22"/>
        </w:rPr>
        <w:t>will</w:t>
      </w:r>
      <w:r w:rsidR="0011588F">
        <w:rPr>
          <w:rFonts w:ascii="Arial" w:hAnsi="Arial" w:cs="Arial"/>
          <w:sz w:val="22"/>
        </w:rPr>
        <w:t xml:space="preserve"> be conducted</w:t>
      </w:r>
      <w:r>
        <w:rPr>
          <w:rFonts w:ascii="Arial" w:hAnsi="Arial" w:cs="Arial"/>
          <w:sz w:val="22"/>
        </w:rPr>
        <w:t xml:space="preserve"> regularly for the financial readiness NCO’s</w:t>
      </w:r>
      <w:r w:rsidR="0011588F">
        <w:rPr>
          <w:rFonts w:ascii="Arial" w:hAnsi="Arial" w:cs="Arial"/>
          <w:sz w:val="22"/>
        </w:rPr>
        <w:t xml:space="preserve">.  The financial readiness program manager will develop a training series that covers how to coordinate for personal financial counselors, how to track milestones for specified financial counseling, where to direct Soldiers and what resources are available in the event of a financial emergency, and how to develop a financial readiness bulletin board.  This training will be scheduled for any Soldiers who are duty appointed as their </w:t>
      </w:r>
      <w:r w:rsidR="00E2653D">
        <w:rPr>
          <w:rFonts w:ascii="Arial" w:hAnsi="Arial" w:cs="Arial"/>
          <w:sz w:val="22"/>
        </w:rPr>
        <w:t>unit’s</w:t>
      </w:r>
      <w:r w:rsidR="0011588F">
        <w:rPr>
          <w:rFonts w:ascii="Arial" w:hAnsi="Arial" w:cs="Arial"/>
          <w:sz w:val="22"/>
        </w:rPr>
        <w:t xml:space="preserve"> financial readiness NCO.</w:t>
      </w:r>
    </w:p>
    <w:p w14:paraId="30F9DE87" w14:textId="1D3D76E0" w:rsidR="0011588F" w:rsidRPr="00992A1F" w:rsidRDefault="0011588F" w:rsidP="00D10D9A">
      <w:pPr>
        <w:pStyle w:val="APABody"/>
        <w:ind w:firstLine="0"/>
        <w:rPr>
          <w:rFonts w:ascii="Arial" w:hAnsi="Arial" w:cs="Arial"/>
          <w:sz w:val="22"/>
        </w:rPr>
      </w:pPr>
      <w:r>
        <w:rPr>
          <w:rFonts w:ascii="Arial" w:hAnsi="Arial" w:cs="Arial"/>
          <w:sz w:val="22"/>
        </w:rPr>
        <w:tab/>
        <w:t xml:space="preserve">Finally, aligning systems and confronting supervisors who undercut or diminish change will be the responsibility of the guiding coalition and the Commanders.  Commanders must develop their training schedules to provide for the allotted blocks of financial readiness training and coordinate with their financial readiness NCOs to coordinate this training.  Further, the financial readiness NCO’s and the Battalion financial readiness program manager will report directly to the Commander of their echelon the status of the program and the issues </w:t>
      </w:r>
      <w:r w:rsidR="001379A2">
        <w:rPr>
          <w:rFonts w:ascii="Arial" w:hAnsi="Arial" w:cs="Arial"/>
          <w:sz w:val="22"/>
        </w:rPr>
        <w:t>that present themselves</w:t>
      </w:r>
      <w:r>
        <w:rPr>
          <w:rFonts w:ascii="Arial" w:hAnsi="Arial" w:cs="Arial"/>
          <w:sz w:val="22"/>
        </w:rPr>
        <w:t>.  Should these individuals report resistance from supervisors, the Commanders will be responsible for handling the situation through counselling on the importance and effectiveness of financial readiness.</w:t>
      </w:r>
    </w:p>
    <w:p w14:paraId="54F01494" w14:textId="2CAC6BA9" w:rsidR="0011588F" w:rsidRDefault="0011588F" w:rsidP="0019441C">
      <w:pPr>
        <w:pStyle w:val="APABody"/>
        <w:ind w:firstLine="0"/>
        <w:jc w:val="center"/>
        <w:rPr>
          <w:rFonts w:ascii="Arial" w:hAnsi="Arial" w:cs="Arial"/>
          <w:b/>
          <w:bCs/>
          <w:sz w:val="22"/>
        </w:rPr>
      </w:pPr>
      <w:r>
        <w:rPr>
          <w:rFonts w:ascii="Arial" w:hAnsi="Arial" w:cs="Arial"/>
          <w:b/>
          <w:bCs/>
          <w:sz w:val="22"/>
        </w:rPr>
        <w:t>Generating Short Term Wins</w:t>
      </w:r>
    </w:p>
    <w:p w14:paraId="27B72CA7" w14:textId="7CC2CB79" w:rsidR="0011588F" w:rsidRDefault="0011588F" w:rsidP="0011588F">
      <w:pPr>
        <w:pStyle w:val="APABody"/>
        <w:ind w:firstLine="0"/>
        <w:rPr>
          <w:rFonts w:ascii="Arial" w:hAnsi="Arial" w:cs="Arial"/>
          <w:sz w:val="22"/>
        </w:rPr>
      </w:pPr>
      <w:r>
        <w:rPr>
          <w:rFonts w:ascii="Arial" w:hAnsi="Arial" w:cs="Arial"/>
          <w:sz w:val="22"/>
        </w:rPr>
        <w:tab/>
        <w:t>Developing short term wins is necessary to continued motivation when driving change.  To build short term wins, two categories of success should be highlighted and mapped for benchmarks.  The first category will develop short term wins for the implementation of the financial readiness program and include benchmark one, two</w:t>
      </w:r>
      <w:r w:rsidR="001379A2">
        <w:rPr>
          <w:rFonts w:ascii="Arial" w:hAnsi="Arial" w:cs="Arial"/>
          <w:sz w:val="22"/>
        </w:rPr>
        <w:t>,</w:t>
      </w:r>
      <w:r>
        <w:rPr>
          <w:rFonts w:ascii="Arial" w:hAnsi="Arial" w:cs="Arial"/>
          <w:sz w:val="22"/>
        </w:rPr>
        <w:t xml:space="preserve"> and three</w:t>
      </w:r>
      <w:r w:rsidR="001379A2">
        <w:rPr>
          <w:rFonts w:ascii="Arial" w:hAnsi="Arial" w:cs="Arial"/>
          <w:sz w:val="22"/>
        </w:rPr>
        <w:t>.</w:t>
      </w:r>
      <w:r>
        <w:rPr>
          <w:rFonts w:ascii="Arial" w:hAnsi="Arial" w:cs="Arial"/>
          <w:sz w:val="22"/>
        </w:rPr>
        <w:t xml:space="preserve"> </w:t>
      </w:r>
      <w:r w:rsidR="001379A2">
        <w:rPr>
          <w:rFonts w:ascii="Arial" w:hAnsi="Arial" w:cs="Arial"/>
          <w:sz w:val="22"/>
        </w:rPr>
        <w:t>T</w:t>
      </w:r>
      <w:r>
        <w:rPr>
          <w:rFonts w:ascii="Arial" w:hAnsi="Arial" w:cs="Arial"/>
          <w:sz w:val="22"/>
        </w:rPr>
        <w:t xml:space="preserve">he second category will be for the effectiveness of the training evaluated by </w:t>
      </w:r>
      <w:r w:rsidR="00E2653D">
        <w:rPr>
          <w:rFonts w:ascii="Arial" w:hAnsi="Arial" w:cs="Arial"/>
          <w:sz w:val="22"/>
        </w:rPr>
        <w:t>benchmark</w:t>
      </w:r>
      <w:r>
        <w:rPr>
          <w:rFonts w:ascii="Arial" w:hAnsi="Arial" w:cs="Arial"/>
          <w:sz w:val="22"/>
        </w:rPr>
        <w:t xml:space="preserve"> 4 and 5.</w:t>
      </w:r>
    </w:p>
    <w:p w14:paraId="71B8D27F" w14:textId="4CCE1524" w:rsidR="0011588F" w:rsidRDefault="0011588F" w:rsidP="0011588F">
      <w:pPr>
        <w:pStyle w:val="APABody"/>
        <w:ind w:firstLine="0"/>
        <w:rPr>
          <w:rFonts w:ascii="Arial" w:hAnsi="Arial" w:cs="Arial"/>
          <w:sz w:val="22"/>
        </w:rPr>
      </w:pPr>
      <w:r>
        <w:rPr>
          <w:rFonts w:ascii="Arial" w:hAnsi="Arial" w:cs="Arial"/>
          <w:sz w:val="22"/>
        </w:rPr>
        <w:tab/>
        <w:t xml:space="preserve">The first benchmark will be regarding the implementation of financial readiness NCOs.  The first short term </w:t>
      </w:r>
      <w:r w:rsidR="00480A16">
        <w:rPr>
          <w:rFonts w:ascii="Arial" w:hAnsi="Arial" w:cs="Arial"/>
          <w:sz w:val="22"/>
        </w:rPr>
        <w:t>“</w:t>
      </w:r>
      <w:r>
        <w:rPr>
          <w:rFonts w:ascii="Arial" w:hAnsi="Arial" w:cs="Arial"/>
          <w:sz w:val="22"/>
        </w:rPr>
        <w:t>win</w:t>
      </w:r>
      <w:r w:rsidR="00480A16">
        <w:rPr>
          <w:rFonts w:ascii="Arial" w:hAnsi="Arial" w:cs="Arial"/>
          <w:sz w:val="22"/>
        </w:rPr>
        <w:t>”</w:t>
      </w:r>
      <w:r>
        <w:rPr>
          <w:rFonts w:ascii="Arial" w:hAnsi="Arial" w:cs="Arial"/>
          <w:sz w:val="22"/>
        </w:rPr>
        <w:t xml:space="preserve"> will be evaluated one month after the implementation of the program where the program manager will receive duty appointments for all unit’s financial readiness NCO’s and schedule training.  The second </w:t>
      </w:r>
      <w:r w:rsidR="00480A16">
        <w:rPr>
          <w:rFonts w:ascii="Arial" w:hAnsi="Arial" w:cs="Arial"/>
          <w:sz w:val="22"/>
        </w:rPr>
        <w:t>“</w:t>
      </w:r>
      <w:r>
        <w:rPr>
          <w:rFonts w:ascii="Arial" w:hAnsi="Arial" w:cs="Arial"/>
          <w:sz w:val="22"/>
        </w:rPr>
        <w:t>win</w:t>
      </w:r>
      <w:r w:rsidR="00480A16">
        <w:rPr>
          <w:rFonts w:ascii="Arial" w:hAnsi="Arial" w:cs="Arial"/>
          <w:sz w:val="22"/>
        </w:rPr>
        <w:t>”</w:t>
      </w:r>
      <w:r>
        <w:rPr>
          <w:rFonts w:ascii="Arial" w:hAnsi="Arial" w:cs="Arial"/>
          <w:sz w:val="22"/>
        </w:rPr>
        <w:t xml:space="preserve"> will be when all units have trained their </w:t>
      </w:r>
      <w:r>
        <w:rPr>
          <w:rFonts w:ascii="Arial" w:hAnsi="Arial" w:cs="Arial"/>
          <w:sz w:val="22"/>
        </w:rPr>
        <w:lastRenderedPageBreak/>
        <w:t>financial readiness NCOs no later than the six-month mark. The second benchmark will be surrounding the implementation of the quarterly financial readiness counseling.  The first “win” of this benchmark will be when each unit has conducted their initial quarterly training no later than nine months from implementation of the program and the second will be when all units have completed four quarterly trainings no later than 24 months from implementation.</w:t>
      </w:r>
      <w:r w:rsidR="001379A2">
        <w:rPr>
          <w:rFonts w:ascii="Arial" w:hAnsi="Arial" w:cs="Arial"/>
          <w:sz w:val="22"/>
        </w:rPr>
        <w:t xml:space="preserve">  </w:t>
      </w:r>
      <w:r>
        <w:rPr>
          <w:rFonts w:ascii="Arial" w:hAnsi="Arial" w:cs="Arial"/>
          <w:sz w:val="22"/>
        </w:rPr>
        <w:t xml:space="preserve">The third benchmark will involve the creation of each unit’s financial readiness bulletin board which will be created by the financial readiness NCO’s no later than 9 months from implementation.  </w:t>
      </w:r>
    </w:p>
    <w:p w14:paraId="56ACCA32" w14:textId="4DCBE84F" w:rsidR="00E2653D" w:rsidRPr="001379A2" w:rsidRDefault="0011588F" w:rsidP="001379A2">
      <w:pPr>
        <w:pStyle w:val="APABody"/>
        <w:ind w:firstLine="0"/>
        <w:rPr>
          <w:rFonts w:ascii="Arial" w:hAnsi="Arial" w:cs="Arial"/>
          <w:sz w:val="22"/>
        </w:rPr>
      </w:pPr>
      <w:r>
        <w:rPr>
          <w:rFonts w:ascii="Arial" w:hAnsi="Arial" w:cs="Arial"/>
          <w:sz w:val="22"/>
        </w:rPr>
        <w:tab/>
        <w:t>The fourth benchmark will be once the unit’s financial readiness status surveys have been completed and reviewed.  The first iteration should be at the inception of the change, no later than 6 months from implementation of the program and the second should be conducted annually afterwards.  With each annual iteration for the first 3 years, the intended benchmark is a 10% increase across all categories in individual financial readiness and a 5% increase for the 3 years following.</w:t>
      </w:r>
      <w:r w:rsidR="001379A2">
        <w:rPr>
          <w:rFonts w:ascii="Arial" w:hAnsi="Arial" w:cs="Arial"/>
          <w:sz w:val="22"/>
        </w:rPr>
        <w:t xml:space="preserve"> </w:t>
      </w:r>
      <w:r>
        <w:rPr>
          <w:rFonts w:ascii="Arial" w:hAnsi="Arial" w:cs="Arial"/>
          <w:sz w:val="22"/>
        </w:rPr>
        <w:t xml:space="preserve">Finally, the fifth benchmark will be based on tracking the serious financial incident reporting.  At the inception of the program and upon publication of the Battalion financial readiness program policy, all units will be directed to report when there are serious financial incidents among their units.  These reports will be confidential and only visible to those with a need to know of the situation.  Serious incidents will include the unexpected loss of employment, extended periods of unintentional unemployment, loss of or the risk of losing housing, inability to provide sustenance for the Soldier or family, inability to afford transportation to work or other critical events, inability to pay for needed healthcare, declaring, or preparing to declare bankruptcy, or any other serious financial emergency.   The frequency and nature of these serious incident reports will be tracked and evaluated linear to the progress of the financial literacy and readiness program and an expected decrease of reports will be expected at a rate of 5% annually for 5 years on the anniversary of the programs </w:t>
      </w:r>
      <w:r w:rsidR="00E2653D">
        <w:rPr>
          <w:rFonts w:ascii="Arial" w:hAnsi="Arial" w:cs="Arial"/>
          <w:sz w:val="22"/>
        </w:rPr>
        <w:t>implementation</w:t>
      </w:r>
      <w:r>
        <w:rPr>
          <w:rFonts w:ascii="Arial" w:hAnsi="Arial" w:cs="Arial"/>
          <w:sz w:val="22"/>
        </w:rPr>
        <w:t>.</w:t>
      </w:r>
    </w:p>
    <w:p w14:paraId="1534CF8B" w14:textId="190DEC0F" w:rsidR="001379A2" w:rsidRDefault="001379A2" w:rsidP="00E2653D">
      <w:pPr>
        <w:pStyle w:val="APABody"/>
        <w:ind w:firstLine="0"/>
        <w:jc w:val="center"/>
        <w:rPr>
          <w:rFonts w:ascii="Arial" w:hAnsi="Arial" w:cs="Arial"/>
          <w:b/>
          <w:bCs/>
          <w:sz w:val="22"/>
        </w:rPr>
      </w:pPr>
    </w:p>
    <w:p w14:paraId="4625B718" w14:textId="77777777" w:rsidR="00480A16" w:rsidRDefault="00480A16" w:rsidP="00E2653D">
      <w:pPr>
        <w:pStyle w:val="APABody"/>
        <w:ind w:firstLine="0"/>
        <w:jc w:val="center"/>
        <w:rPr>
          <w:rFonts w:ascii="Arial" w:hAnsi="Arial" w:cs="Arial"/>
          <w:b/>
          <w:bCs/>
          <w:sz w:val="22"/>
        </w:rPr>
      </w:pPr>
    </w:p>
    <w:p w14:paraId="55DEAD05" w14:textId="3DCA4E90" w:rsidR="00E2653D" w:rsidRPr="0011588F" w:rsidRDefault="00E2653D" w:rsidP="00E2653D">
      <w:pPr>
        <w:pStyle w:val="APABody"/>
        <w:ind w:firstLine="0"/>
        <w:jc w:val="center"/>
        <w:rPr>
          <w:rFonts w:ascii="Arial" w:hAnsi="Arial" w:cs="Arial"/>
          <w:sz w:val="22"/>
        </w:rPr>
      </w:pPr>
      <w:r>
        <w:rPr>
          <w:rFonts w:ascii="Arial" w:hAnsi="Arial" w:cs="Arial"/>
          <w:b/>
          <w:bCs/>
          <w:sz w:val="22"/>
        </w:rPr>
        <w:lastRenderedPageBreak/>
        <w:t>Consolidating Gains and Producing More Change</w:t>
      </w:r>
    </w:p>
    <w:p w14:paraId="67CF1D10" w14:textId="0DCC473A" w:rsidR="00E2653D" w:rsidRDefault="00E2653D" w:rsidP="0019441C">
      <w:pPr>
        <w:pStyle w:val="APABody"/>
        <w:ind w:firstLine="0"/>
        <w:rPr>
          <w:rFonts w:ascii="Arial" w:hAnsi="Arial" w:cs="Arial"/>
          <w:sz w:val="22"/>
        </w:rPr>
      </w:pPr>
      <w:r>
        <w:rPr>
          <w:rFonts w:ascii="Arial" w:hAnsi="Arial" w:cs="Arial"/>
          <w:sz w:val="22"/>
        </w:rPr>
        <w:tab/>
        <w:t xml:space="preserve">Kotter highlights the challenges in managing and understanding the interconnected business practices that are inherently interdependent.  This is highlighted in detail in the McKinsey 7S framework where the framework identifies the interconnected business practices in 7 nodes and provides those invoking change with a checklist of the different nodes of an organization that must be reviewed for impact from the change being made (Waterman et all, </w:t>
      </w:r>
      <w:r w:rsidR="00480A16">
        <w:rPr>
          <w:rFonts w:ascii="Arial" w:hAnsi="Arial" w:cs="Arial"/>
          <w:sz w:val="22"/>
        </w:rPr>
        <w:t>1980)</w:t>
      </w:r>
      <w:r>
        <w:rPr>
          <w:rFonts w:ascii="Arial" w:hAnsi="Arial" w:cs="Arial"/>
          <w:sz w:val="22"/>
        </w:rPr>
        <w:t xml:space="preserve">.  At this point, the change initiative is in action and the guiding coalition is provided the opportunity to conduct and in progress review of the seven nodes of </w:t>
      </w:r>
      <w:r w:rsidR="001379A2">
        <w:rPr>
          <w:rFonts w:ascii="Arial" w:hAnsi="Arial" w:cs="Arial"/>
          <w:sz w:val="22"/>
        </w:rPr>
        <w:t>McKinsey</w:t>
      </w:r>
      <w:r>
        <w:rPr>
          <w:rFonts w:ascii="Arial" w:hAnsi="Arial" w:cs="Arial"/>
          <w:sz w:val="22"/>
        </w:rPr>
        <w:t xml:space="preserve"> 7S.  The coalition will conduct a review of the systems, structure, style, staff, skills, </w:t>
      </w:r>
      <w:r w:rsidR="00480A16">
        <w:rPr>
          <w:rFonts w:ascii="Arial" w:hAnsi="Arial" w:cs="Arial"/>
          <w:sz w:val="22"/>
        </w:rPr>
        <w:t xml:space="preserve">strategy, </w:t>
      </w:r>
      <w:r>
        <w:rPr>
          <w:rFonts w:ascii="Arial" w:hAnsi="Arial" w:cs="Arial"/>
          <w:sz w:val="22"/>
        </w:rPr>
        <w:t xml:space="preserve">and superordinate goals of the organization and calibrate any changes required that are feasible and beneficial to the financial readiness program.   </w:t>
      </w:r>
    </w:p>
    <w:p w14:paraId="721C2BD4" w14:textId="077DDE6B" w:rsidR="001379A2" w:rsidRPr="001379A2" w:rsidRDefault="00E2653D" w:rsidP="001379A2">
      <w:pPr>
        <w:pStyle w:val="APABody"/>
        <w:ind w:firstLine="0"/>
        <w:rPr>
          <w:rFonts w:ascii="Arial" w:hAnsi="Arial" w:cs="Arial"/>
          <w:sz w:val="22"/>
        </w:rPr>
      </w:pPr>
      <w:r>
        <w:rPr>
          <w:rFonts w:ascii="Arial" w:hAnsi="Arial" w:cs="Arial"/>
          <w:sz w:val="22"/>
        </w:rPr>
        <w:tab/>
        <w:t>It is essential that the guiding coalition provide continuity throughout the change initiative.  As the program is rolled out and evaluated over the course of several years, Commanders</w:t>
      </w:r>
      <w:r w:rsidR="00480A16">
        <w:rPr>
          <w:rFonts w:ascii="Arial" w:hAnsi="Arial" w:cs="Arial"/>
          <w:sz w:val="22"/>
        </w:rPr>
        <w:t>,</w:t>
      </w:r>
      <w:r>
        <w:rPr>
          <w:rFonts w:ascii="Arial" w:hAnsi="Arial" w:cs="Arial"/>
          <w:sz w:val="22"/>
        </w:rPr>
        <w:t xml:space="preserve"> staff</w:t>
      </w:r>
      <w:r w:rsidR="00480A16">
        <w:rPr>
          <w:rFonts w:ascii="Arial" w:hAnsi="Arial" w:cs="Arial"/>
          <w:sz w:val="22"/>
        </w:rPr>
        <w:t>,</w:t>
      </w:r>
      <w:r>
        <w:rPr>
          <w:rFonts w:ascii="Arial" w:hAnsi="Arial" w:cs="Arial"/>
          <w:sz w:val="22"/>
        </w:rPr>
        <w:t xml:space="preserve"> and essential personnel will be moved out.  The guiding coalition will be essential in maintaining the efforts and vision of the financial readiness program, as members are replaced</w:t>
      </w:r>
      <w:r w:rsidR="00480A16">
        <w:rPr>
          <w:rFonts w:ascii="Arial" w:hAnsi="Arial" w:cs="Arial"/>
          <w:sz w:val="22"/>
        </w:rPr>
        <w:t>,</w:t>
      </w:r>
      <w:r>
        <w:rPr>
          <w:rFonts w:ascii="Arial" w:hAnsi="Arial" w:cs="Arial"/>
          <w:sz w:val="22"/>
        </w:rPr>
        <w:t xml:space="preserve"> the rest of the coalition will remain and continue to manage, evaluate, and lead the change effort.  The guiding coalition and the Command teams are now charged with ensuring the continuity of the original strategy </w:t>
      </w:r>
      <w:r w:rsidR="00480A16">
        <w:rPr>
          <w:rFonts w:ascii="Arial" w:hAnsi="Arial" w:cs="Arial"/>
          <w:sz w:val="22"/>
        </w:rPr>
        <w:t>and</w:t>
      </w:r>
      <w:r>
        <w:rPr>
          <w:rFonts w:ascii="Arial" w:hAnsi="Arial" w:cs="Arial"/>
          <w:sz w:val="22"/>
        </w:rPr>
        <w:t xml:space="preserve"> reevaluating to see what other relevant change and improvements to the financial readiness program can be accomplished through the momentum generated from the </w:t>
      </w:r>
      <w:r w:rsidR="00480A16">
        <w:rPr>
          <w:rFonts w:ascii="Arial" w:hAnsi="Arial" w:cs="Arial"/>
          <w:sz w:val="22"/>
        </w:rPr>
        <w:t>fulfillment</w:t>
      </w:r>
      <w:r>
        <w:rPr>
          <w:rFonts w:ascii="Arial" w:hAnsi="Arial" w:cs="Arial"/>
          <w:sz w:val="22"/>
        </w:rPr>
        <w:t xml:space="preserve"> of the </w:t>
      </w:r>
      <w:r w:rsidR="001379A2">
        <w:rPr>
          <w:rFonts w:ascii="Arial" w:hAnsi="Arial" w:cs="Arial"/>
          <w:sz w:val="22"/>
        </w:rPr>
        <w:t>short-term</w:t>
      </w:r>
      <w:r>
        <w:rPr>
          <w:rFonts w:ascii="Arial" w:hAnsi="Arial" w:cs="Arial"/>
          <w:sz w:val="22"/>
        </w:rPr>
        <w:t xml:space="preserve"> wins.  Senior leaders who possess a strong command presence should leverage this presence to keep the direction of the change on course and ensure urgency is maintained and in line with the vision.  Individuals selected as financial readiness NCOs and the program manager should be evaluated and </w:t>
      </w:r>
      <w:r w:rsidR="00480A16">
        <w:rPr>
          <w:rFonts w:ascii="Arial" w:hAnsi="Arial" w:cs="Arial"/>
          <w:sz w:val="22"/>
        </w:rPr>
        <w:t>if</w:t>
      </w:r>
      <w:r>
        <w:rPr>
          <w:rFonts w:ascii="Arial" w:hAnsi="Arial" w:cs="Arial"/>
          <w:sz w:val="22"/>
        </w:rPr>
        <w:t xml:space="preserve"> their passion or motivation have faltered, they should be encouraged and reinvigorated or replaced.  These leaders must take personal ownership of the program and if they do not have passion for it, they must be led back to where their passion came from.</w:t>
      </w:r>
    </w:p>
    <w:p w14:paraId="65489CDB" w14:textId="3C32560E" w:rsidR="00D10D9A" w:rsidRPr="00992A1F" w:rsidRDefault="00830745" w:rsidP="00D10D9A">
      <w:pPr>
        <w:pStyle w:val="APABody"/>
        <w:ind w:firstLine="0"/>
        <w:jc w:val="center"/>
        <w:rPr>
          <w:rFonts w:ascii="Arial" w:hAnsi="Arial" w:cs="Arial"/>
          <w:b/>
          <w:bCs/>
          <w:sz w:val="22"/>
        </w:rPr>
      </w:pPr>
      <w:r>
        <w:rPr>
          <w:rFonts w:ascii="Arial" w:hAnsi="Arial" w:cs="Arial"/>
          <w:b/>
          <w:bCs/>
          <w:sz w:val="22"/>
        </w:rPr>
        <w:lastRenderedPageBreak/>
        <w:t>Anchoring New Approaches into Culture</w:t>
      </w:r>
    </w:p>
    <w:p w14:paraId="741CBBE1" w14:textId="76BF32F5" w:rsidR="00992A1F" w:rsidRPr="00992A1F" w:rsidRDefault="00DD140A" w:rsidP="00992A1F">
      <w:pPr>
        <w:pStyle w:val="APABody"/>
        <w:ind w:firstLine="0"/>
        <w:rPr>
          <w:rFonts w:ascii="Arial" w:hAnsi="Arial" w:cs="Arial"/>
          <w:sz w:val="22"/>
        </w:rPr>
      </w:pPr>
      <w:r w:rsidRPr="00992A1F">
        <w:rPr>
          <w:rFonts w:ascii="Arial" w:hAnsi="Arial" w:cs="Arial"/>
          <w:b/>
          <w:bCs/>
          <w:sz w:val="22"/>
        </w:rPr>
        <w:tab/>
      </w:r>
      <w:r w:rsidR="00E2653D">
        <w:rPr>
          <w:rFonts w:ascii="Arial" w:hAnsi="Arial" w:cs="Arial"/>
          <w:sz w:val="22"/>
        </w:rPr>
        <w:t xml:space="preserve">Groups must learn through a process of trial and error, and what remains after the process is completed is adapted into its culture.  </w:t>
      </w:r>
      <w:r w:rsidR="001379A2">
        <w:rPr>
          <w:rFonts w:ascii="Arial" w:hAnsi="Arial" w:cs="Arial"/>
          <w:sz w:val="22"/>
        </w:rPr>
        <w:t>A</w:t>
      </w:r>
      <w:r w:rsidR="00E2653D">
        <w:rPr>
          <w:rFonts w:ascii="Arial" w:hAnsi="Arial" w:cs="Arial"/>
          <w:sz w:val="22"/>
        </w:rPr>
        <w:t xml:space="preserve"> group</w:t>
      </w:r>
      <w:r w:rsidR="001379A2">
        <w:rPr>
          <w:rFonts w:ascii="Arial" w:hAnsi="Arial" w:cs="Arial"/>
          <w:sz w:val="22"/>
        </w:rPr>
        <w:t>’</w:t>
      </w:r>
      <w:r w:rsidR="00E2653D">
        <w:rPr>
          <w:rFonts w:ascii="Arial" w:hAnsi="Arial" w:cs="Arial"/>
          <w:sz w:val="22"/>
        </w:rPr>
        <w:t>s culture is everything they have learned as it has developed (</w:t>
      </w:r>
      <w:proofErr w:type="spellStart"/>
      <w:r w:rsidR="00E2653D">
        <w:rPr>
          <w:rFonts w:ascii="Arial" w:hAnsi="Arial" w:cs="Arial"/>
          <w:sz w:val="22"/>
        </w:rPr>
        <w:t>Schien</w:t>
      </w:r>
      <w:proofErr w:type="spellEnd"/>
      <w:r w:rsidR="00E2653D">
        <w:rPr>
          <w:rFonts w:ascii="Arial" w:hAnsi="Arial" w:cs="Arial"/>
          <w:sz w:val="22"/>
        </w:rPr>
        <w:t xml:space="preserve">, 2016).  </w:t>
      </w:r>
      <w:proofErr w:type="spellStart"/>
      <w:r w:rsidR="00E2653D">
        <w:rPr>
          <w:rFonts w:ascii="Arial" w:hAnsi="Arial" w:cs="Arial"/>
          <w:sz w:val="22"/>
        </w:rPr>
        <w:t>Schien</w:t>
      </w:r>
      <w:proofErr w:type="spellEnd"/>
      <w:r w:rsidR="00E2653D">
        <w:rPr>
          <w:rFonts w:ascii="Arial" w:hAnsi="Arial" w:cs="Arial"/>
          <w:sz w:val="22"/>
        </w:rPr>
        <w:t xml:space="preserve"> models his theory of change, specifically changing culture on Kurt Lewin’s Change as Three Steps (CATS) model.  In the model</w:t>
      </w:r>
      <w:r w:rsidR="001379A2">
        <w:rPr>
          <w:rFonts w:ascii="Arial" w:hAnsi="Arial" w:cs="Arial"/>
          <w:sz w:val="22"/>
        </w:rPr>
        <w:t>,</w:t>
      </w:r>
      <w:r w:rsidR="00E2653D">
        <w:rPr>
          <w:rFonts w:ascii="Arial" w:hAnsi="Arial" w:cs="Arial"/>
          <w:sz w:val="22"/>
        </w:rPr>
        <w:t xml:space="preserve"> change is proposed as unfreezing, changing, and refreezing (Lewin, 1947).  At this stage, we have already unfrozen and implemented change, the challenge that must be surmounted is locking the change into the organizations culture, so it outlives the original guiding coalition, and the organization continues to benefit from it.  To lock the change into the organizations culture, it must be proven to work.  There must be evaluation that shows Soldiers are more financially ready after the program is put into place than they were prior to its installment and the program will be locked into the organizations espoused beliefs.  If the change is not proven to have fixed the identified problem, a new change initiative will be triggered, and the process will start over from the beginning. </w:t>
      </w:r>
    </w:p>
    <w:p w14:paraId="23A7D456" w14:textId="488AE896" w:rsidR="0019441C" w:rsidRPr="00992A1F" w:rsidRDefault="00830745" w:rsidP="0019441C">
      <w:pPr>
        <w:pStyle w:val="APABody"/>
        <w:ind w:firstLine="0"/>
        <w:jc w:val="center"/>
        <w:rPr>
          <w:rFonts w:ascii="Arial" w:hAnsi="Arial" w:cs="Arial"/>
          <w:b/>
          <w:bCs/>
          <w:sz w:val="22"/>
        </w:rPr>
      </w:pPr>
      <w:r>
        <w:rPr>
          <w:rFonts w:ascii="Arial" w:hAnsi="Arial" w:cs="Arial"/>
          <w:b/>
          <w:bCs/>
          <w:sz w:val="22"/>
        </w:rPr>
        <w:t>Conclusion</w:t>
      </w:r>
    </w:p>
    <w:p w14:paraId="1A7B90C0" w14:textId="7FF91412" w:rsidR="00830745" w:rsidRPr="00E2653D" w:rsidRDefault="00DD140A" w:rsidP="00E2653D">
      <w:pPr>
        <w:pStyle w:val="APABody"/>
        <w:ind w:firstLine="0"/>
        <w:rPr>
          <w:rFonts w:ascii="Arial" w:hAnsi="Arial" w:cs="Arial"/>
          <w:sz w:val="22"/>
        </w:rPr>
      </w:pPr>
      <w:r w:rsidRPr="00992A1F">
        <w:rPr>
          <w:rFonts w:ascii="Arial" w:hAnsi="Arial" w:cs="Arial"/>
          <w:b/>
          <w:bCs/>
          <w:sz w:val="22"/>
        </w:rPr>
        <w:tab/>
      </w:r>
      <w:r w:rsidR="00E2653D">
        <w:rPr>
          <w:rFonts w:ascii="Arial" w:hAnsi="Arial" w:cs="Arial"/>
          <w:sz w:val="22"/>
        </w:rPr>
        <w:t xml:space="preserve">The Army Reserve is in critical need of financial readiness and financial literacy training.  To implement this training, the Battalion and Company levels must undergo effective change management and employ tracking, training, and management practices into their typical operations.  By </w:t>
      </w:r>
      <w:r w:rsidR="001379A2">
        <w:rPr>
          <w:rFonts w:ascii="Arial" w:hAnsi="Arial" w:cs="Arial"/>
          <w:sz w:val="22"/>
        </w:rPr>
        <w:t>utilizing</w:t>
      </w:r>
      <w:r w:rsidR="00E2653D">
        <w:rPr>
          <w:rFonts w:ascii="Arial" w:hAnsi="Arial" w:cs="Arial"/>
          <w:sz w:val="22"/>
        </w:rPr>
        <w:t xml:space="preserve"> the methods of Kotter, McK</w:t>
      </w:r>
      <w:r w:rsidR="001379A2">
        <w:rPr>
          <w:rFonts w:ascii="Arial" w:hAnsi="Arial" w:cs="Arial"/>
          <w:sz w:val="22"/>
        </w:rPr>
        <w:t>i</w:t>
      </w:r>
      <w:r w:rsidR="00E2653D">
        <w:rPr>
          <w:rFonts w:ascii="Arial" w:hAnsi="Arial" w:cs="Arial"/>
          <w:sz w:val="22"/>
        </w:rPr>
        <w:t>n</w:t>
      </w:r>
      <w:r w:rsidR="001379A2">
        <w:rPr>
          <w:rFonts w:ascii="Arial" w:hAnsi="Arial" w:cs="Arial"/>
          <w:sz w:val="22"/>
        </w:rPr>
        <w:t>sey</w:t>
      </w:r>
      <w:r w:rsidR="00E2653D">
        <w:rPr>
          <w:rFonts w:ascii="Arial" w:hAnsi="Arial" w:cs="Arial"/>
          <w:sz w:val="22"/>
        </w:rPr>
        <w:t xml:space="preserve"> 7S, PDCA and CATS, the change can be implemented, guided, and locked into the organizations culture for long lasting results. </w:t>
      </w:r>
      <w:r w:rsidR="00992A1F" w:rsidRPr="00992A1F">
        <w:rPr>
          <w:rFonts w:ascii="Arial" w:hAnsi="Arial" w:cs="Arial"/>
          <w:sz w:val="22"/>
        </w:rPr>
        <w:t xml:space="preserve">  </w:t>
      </w:r>
      <w:r w:rsidR="00E2653D">
        <w:rPr>
          <w:rFonts w:ascii="Arial" w:hAnsi="Arial" w:cs="Arial"/>
          <w:sz w:val="22"/>
        </w:rPr>
        <w:t xml:space="preserve">The critical members of the guiding coalition are charged with the consistent monitoring and adaptation of the change </w:t>
      </w:r>
      <w:r w:rsidR="001379A2">
        <w:rPr>
          <w:rFonts w:ascii="Arial" w:hAnsi="Arial" w:cs="Arial"/>
          <w:sz w:val="22"/>
        </w:rPr>
        <w:t>initiative and</w:t>
      </w:r>
      <w:r w:rsidR="00E2653D">
        <w:rPr>
          <w:rFonts w:ascii="Arial" w:hAnsi="Arial" w:cs="Arial"/>
          <w:sz w:val="22"/>
        </w:rPr>
        <w:t xml:space="preserve"> are creditable for its success.  Commanders considering this change initiative should reflect on the vision of the change: </w:t>
      </w:r>
      <w:r w:rsidR="00E2653D">
        <w:rPr>
          <w:rFonts w:ascii="Arial" w:hAnsi="Arial" w:cs="Arial"/>
          <w:sz w:val="22"/>
        </w:rPr>
        <w:t>Soldiers need to feel secure on the Homefront to be successful abroad.  Promoting the well-being of Soldiers and their loved ones is the focal point of a true “People First” organization.</w:t>
      </w:r>
    </w:p>
    <w:p w14:paraId="71D6100A" w14:textId="77777777" w:rsidR="001379A2" w:rsidRDefault="001379A2" w:rsidP="0088247D">
      <w:pPr>
        <w:pStyle w:val="APABody"/>
        <w:ind w:firstLine="0"/>
        <w:jc w:val="center"/>
        <w:rPr>
          <w:rFonts w:ascii="Arial" w:hAnsi="Arial" w:cs="Arial"/>
          <w:b/>
          <w:bCs/>
          <w:sz w:val="22"/>
        </w:rPr>
      </w:pPr>
    </w:p>
    <w:p w14:paraId="33529CDD" w14:textId="21847700" w:rsidR="0088247D" w:rsidRDefault="00815950" w:rsidP="0088247D">
      <w:pPr>
        <w:pStyle w:val="APABody"/>
        <w:ind w:firstLine="0"/>
        <w:jc w:val="center"/>
        <w:rPr>
          <w:rFonts w:ascii="Arial" w:hAnsi="Arial" w:cs="Arial"/>
          <w:b/>
          <w:bCs/>
          <w:sz w:val="22"/>
        </w:rPr>
      </w:pPr>
      <w:r w:rsidRPr="00992A1F">
        <w:rPr>
          <w:rFonts w:ascii="Arial" w:hAnsi="Arial" w:cs="Arial"/>
          <w:b/>
          <w:bCs/>
          <w:sz w:val="22"/>
        </w:rPr>
        <w:lastRenderedPageBreak/>
        <w:t>Refe</w:t>
      </w:r>
      <w:r w:rsidR="00992A1F">
        <w:rPr>
          <w:rFonts w:ascii="Arial" w:hAnsi="Arial" w:cs="Arial"/>
          <w:b/>
          <w:bCs/>
          <w:sz w:val="22"/>
        </w:rPr>
        <w:t>r</w:t>
      </w:r>
      <w:r w:rsidRPr="00992A1F">
        <w:rPr>
          <w:rFonts w:ascii="Arial" w:hAnsi="Arial" w:cs="Arial"/>
          <w:b/>
          <w:bCs/>
          <w:sz w:val="22"/>
        </w:rPr>
        <w:t>ences</w:t>
      </w:r>
    </w:p>
    <w:p w14:paraId="204020A5" w14:textId="4FC27055" w:rsidR="00992A1F" w:rsidRDefault="00992A1F" w:rsidP="0088247D">
      <w:pPr>
        <w:pStyle w:val="APABody"/>
        <w:ind w:firstLine="0"/>
        <w:rPr>
          <w:rFonts w:ascii="Arial" w:hAnsi="Arial" w:cs="Arial"/>
          <w:sz w:val="22"/>
        </w:rPr>
      </w:pPr>
      <w:r w:rsidRPr="00992A1F">
        <w:rPr>
          <w:rFonts w:ascii="Arial" w:hAnsi="Arial" w:cs="Arial"/>
          <w:sz w:val="22"/>
        </w:rPr>
        <w:t>Kotter, J. P. (1996). Leading Change. Harvard Business School Press.</w:t>
      </w:r>
    </w:p>
    <w:p w14:paraId="715C4A76" w14:textId="5C8699E0" w:rsidR="00E2653D" w:rsidRDefault="00E2653D" w:rsidP="0088247D">
      <w:pPr>
        <w:pStyle w:val="APABody"/>
        <w:ind w:firstLine="0"/>
        <w:rPr>
          <w:rFonts w:ascii="Arial" w:hAnsi="Arial" w:cs="Arial"/>
          <w:sz w:val="22"/>
        </w:rPr>
      </w:pPr>
      <w:r w:rsidRPr="00992A1F">
        <w:rPr>
          <w:rFonts w:ascii="Arial" w:hAnsi="Arial" w:cs="Arial"/>
          <w:sz w:val="22"/>
        </w:rPr>
        <w:t xml:space="preserve">Deming, W. E. (1994). The need for change. The Journal for Quality and Participation, 17(7), </w:t>
      </w:r>
      <w:r>
        <w:rPr>
          <w:rFonts w:ascii="Arial" w:hAnsi="Arial" w:cs="Arial"/>
          <w:sz w:val="22"/>
        </w:rPr>
        <w:tab/>
      </w:r>
      <w:r w:rsidRPr="00992A1F">
        <w:rPr>
          <w:rFonts w:ascii="Arial" w:hAnsi="Arial" w:cs="Arial"/>
          <w:sz w:val="22"/>
        </w:rPr>
        <w:t>30-.</w:t>
      </w:r>
    </w:p>
    <w:p w14:paraId="49850683" w14:textId="407FADE3" w:rsidR="00E2653D" w:rsidRDefault="00E2653D" w:rsidP="0088247D">
      <w:pPr>
        <w:pStyle w:val="APABody"/>
        <w:ind w:firstLine="0"/>
        <w:rPr>
          <w:rFonts w:ascii="Arial" w:hAnsi="Arial" w:cs="Arial"/>
          <w:sz w:val="22"/>
        </w:rPr>
      </w:pPr>
      <w:r w:rsidRPr="00E2653D">
        <w:rPr>
          <w:rFonts w:ascii="Arial" w:hAnsi="Arial" w:cs="Arial"/>
          <w:sz w:val="22"/>
        </w:rPr>
        <w:t xml:space="preserve">Undersecretary of Defense for Personnel and Readiness, Department of Defense Annual </w:t>
      </w:r>
      <w:r>
        <w:rPr>
          <w:rFonts w:ascii="Arial" w:hAnsi="Arial" w:cs="Arial"/>
          <w:sz w:val="22"/>
        </w:rPr>
        <w:tab/>
      </w:r>
      <w:r w:rsidRPr="00E2653D">
        <w:rPr>
          <w:rFonts w:ascii="Arial" w:hAnsi="Arial" w:cs="Arial"/>
          <w:sz w:val="22"/>
        </w:rPr>
        <w:t xml:space="preserve">Report on the Financial Literacy and Preparedness of Members of the Armed Forces </w:t>
      </w:r>
      <w:r>
        <w:rPr>
          <w:rFonts w:ascii="Arial" w:hAnsi="Arial" w:cs="Arial"/>
          <w:sz w:val="22"/>
        </w:rPr>
        <w:tab/>
      </w:r>
      <w:r w:rsidRPr="00E2653D">
        <w:rPr>
          <w:rFonts w:ascii="Arial" w:hAnsi="Arial" w:cs="Arial"/>
          <w:sz w:val="22"/>
        </w:rPr>
        <w:t>(2022).</w:t>
      </w:r>
    </w:p>
    <w:p w14:paraId="7D3EB3EE" w14:textId="121295E8" w:rsidR="00E2653D" w:rsidRPr="00E2653D" w:rsidRDefault="00E2653D" w:rsidP="0088247D">
      <w:pPr>
        <w:pStyle w:val="APABody"/>
        <w:ind w:firstLine="0"/>
        <w:rPr>
          <w:rFonts w:ascii="Arial" w:hAnsi="Arial" w:cs="Arial"/>
          <w:sz w:val="22"/>
        </w:rPr>
      </w:pPr>
      <w:proofErr w:type="spellStart"/>
      <w:r w:rsidRPr="00E2653D">
        <w:rPr>
          <w:rFonts w:ascii="Arial" w:hAnsi="Arial" w:cs="Arial"/>
          <w:sz w:val="22"/>
        </w:rPr>
        <w:t>Mahnke</w:t>
      </w:r>
      <w:proofErr w:type="spellEnd"/>
      <w:r w:rsidRPr="00E2653D">
        <w:rPr>
          <w:rFonts w:ascii="Arial" w:hAnsi="Arial" w:cs="Arial"/>
          <w:sz w:val="22"/>
        </w:rPr>
        <w:t xml:space="preserve">, B. (2022, January 6). Security clearance denials and why they happen. </w:t>
      </w:r>
      <w:r>
        <w:rPr>
          <w:rFonts w:ascii="Arial" w:hAnsi="Arial" w:cs="Arial"/>
          <w:sz w:val="22"/>
        </w:rPr>
        <w:tab/>
      </w:r>
      <w:proofErr w:type="spellStart"/>
      <w:r w:rsidRPr="00E2653D">
        <w:rPr>
          <w:rFonts w:ascii="Arial" w:hAnsi="Arial" w:cs="Arial"/>
          <w:sz w:val="22"/>
        </w:rPr>
        <w:t>ClearanceJobs</w:t>
      </w:r>
      <w:proofErr w:type="spellEnd"/>
      <w:r w:rsidRPr="00E2653D">
        <w:rPr>
          <w:rFonts w:ascii="Arial" w:hAnsi="Arial" w:cs="Arial"/>
          <w:sz w:val="22"/>
        </w:rPr>
        <w:t xml:space="preserve">. </w:t>
      </w:r>
      <w:hyperlink r:id="rId7" w:history="1">
        <w:r w:rsidRPr="00C24E1F">
          <w:rPr>
            <w:rStyle w:val="Hyperlink"/>
            <w:rFonts w:ascii="Arial" w:hAnsi="Arial" w:cs="Arial"/>
            <w:sz w:val="22"/>
          </w:rPr>
          <w:t>https://news.clearancejobs.com/2022/01/06/security-clearance-denials-</w:t>
        </w:r>
      </w:hyperlink>
      <w:r>
        <w:rPr>
          <w:rFonts w:ascii="Arial" w:hAnsi="Arial" w:cs="Arial"/>
          <w:sz w:val="22"/>
        </w:rPr>
        <w:tab/>
      </w:r>
      <w:r w:rsidRPr="00E2653D">
        <w:rPr>
          <w:rFonts w:ascii="Arial" w:hAnsi="Arial" w:cs="Arial"/>
          <w:sz w:val="22"/>
        </w:rPr>
        <w:t>and-why-they-</w:t>
      </w:r>
      <w:r>
        <w:rPr>
          <w:rFonts w:ascii="Arial" w:hAnsi="Arial" w:cs="Arial"/>
          <w:sz w:val="22"/>
        </w:rPr>
        <w:tab/>
      </w:r>
      <w:r w:rsidRPr="00E2653D">
        <w:rPr>
          <w:rFonts w:ascii="Arial" w:hAnsi="Arial" w:cs="Arial"/>
          <w:sz w:val="22"/>
        </w:rPr>
        <w:t>happen</w:t>
      </w:r>
    </w:p>
    <w:p w14:paraId="79BBE003" w14:textId="223D4824" w:rsidR="00992A1F" w:rsidRDefault="00C60A0A" w:rsidP="00992A1F">
      <w:pPr>
        <w:pStyle w:val="APABody"/>
        <w:ind w:firstLine="0"/>
        <w:rPr>
          <w:rFonts w:ascii="Arial" w:hAnsi="Arial" w:cs="Arial"/>
          <w:sz w:val="22"/>
        </w:rPr>
      </w:pPr>
      <w:proofErr w:type="spellStart"/>
      <w:r w:rsidRPr="00C60A0A">
        <w:rPr>
          <w:rFonts w:ascii="Arial" w:hAnsi="Arial" w:cs="Arial"/>
          <w:sz w:val="22"/>
        </w:rPr>
        <w:t>Martinich</w:t>
      </w:r>
      <w:proofErr w:type="spellEnd"/>
      <w:r w:rsidRPr="00C60A0A">
        <w:rPr>
          <w:rFonts w:ascii="Arial" w:hAnsi="Arial" w:cs="Arial"/>
          <w:sz w:val="22"/>
        </w:rPr>
        <w:t xml:space="preserve">, L. P. (2016). Excellent execution: balancing top-down and bottom-up management. </w:t>
      </w:r>
      <w:r>
        <w:rPr>
          <w:rFonts w:ascii="Arial" w:hAnsi="Arial" w:cs="Arial"/>
          <w:sz w:val="22"/>
        </w:rPr>
        <w:tab/>
      </w:r>
      <w:r w:rsidRPr="00C60A0A">
        <w:rPr>
          <w:rFonts w:ascii="Arial" w:hAnsi="Arial" w:cs="Arial"/>
          <w:sz w:val="22"/>
        </w:rPr>
        <w:t xml:space="preserve">IEEE Engineering Management Review, 44(2), 20–22.   </w:t>
      </w:r>
      <w:r>
        <w:rPr>
          <w:rFonts w:ascii="Arial" w:hAnsi="Arial" w:cs="Arial"/>
          <w:sz w:val="22"/>
        </w:rPr>
        <w:tab/>
      </w:r>
      <w:r w:rsidRPr="00C60A0A">
        <w:rPr>
          <w:rFonts w:ascii="Arial" w:hAnsi="Arial" w:cs="Arial"/>
          <w:sz w:val="22"/>
        </w:rPr>
        <w:t>https://doi.org/10.1109/EMR.2016.2568720</w:t>
      </w:r>
      <w:r w:rsidR="00992A1F" w:rsidRPr="00992A1F">
        <w:rPr>
          <w:rFonts w:ascii="Arial" w:hAnsi="Arial" w:cs="Arial"/>
          <w:sz w:val="22"/>
        </w:rPr>
        <w:t xml:space="preserve">Waterman, R., Peters. T, &amp; Phillips, J. </w:t>
      </w:r>
      <w:r>
        <w:rPr>
          <w:rFonts w:ascii="Arial" w:hAnsi="Arial" w:cs="Arial"/>
          <w:sz w:val="22"/>
        </w:rPr>
        <w:tab/>
      </w:r>
      <w:r w:rsidR="00992A1F" w:rsidRPr="00992A1F">
        <w:rPr>
          <w:rFonts w:ascii="Arial" w:hAnsi="Arial" w:cs="Arial"/>
          <w:sz w:val="22"/>
        </w:rPr>
        <w:t xml:space="preserve">(1980). Structure is not organization. Business Horizons, </w:t>
      </w:r>
      <w:r w:rsidR="0088247D">
        <w:rPr>
          <w:rFonts w:ascii="Arial" w:hAnsi="Arial" w:cs="Arial"/>
          <w:sz w:val="22"/>
        </w:rPr>
        <w:tab/>
      </w:r>
      <w:r w:rsidR="00992A1F" w:rsidRPr="00992A1F">
        <w:rPr>
          <w:rFonts w:ascii="Arial" w:hAnsi="Arial" w:cs="Arial"/>
          <w:sz w:val="22"/>
        </w:rPr>
        <w:t xml:space="preserve">(23)3, 14-26. </w:t>
      </w:r>
      <w:r>
        <w:rPr>
          <w:rFonts w:ascii="Arial" w:hAnsi="Arial" w:cs="Arial"/>
          <w:sz w:val="22"/>
        </w:rPr>
        <w:tab/>
      </w:r>
      <w:hyperlink r:id="rId8" w:history="1">
        <w:r w:rsidRPr="00C24E1F">
          <w:rPr>
            <w:rStyle w:val="Hyperlink"/>
            <w:rFonts w:ascii="Arial" w:hAnsi="Arial" w:cs="Arial"/>
            <w:sz w:val="22"/>
          </w:rPr>
          <w:t>https://doi.org/10.1016/0007-6813(80)90027-0</w:t>
        </w:r>
      </w:hyperlink>
      <w:r w:rsidR="00992A1F" w:rsidRPr="00992A1F">
        <w:rPr>
          <w:rFonts w:ascii="Arial" w:hAnsi="Arial" w:cs="Arial"/>
          <w:sz w:val="22"/>
        </w:rPr>
        <w:t>.</w:t>
      </w:r>
    </w:p>
    <w:p w14:paraId="24056007" w14:textId="6381EF2D" w:rsidR="00E2653D" w:rsidRDefault="00E2653D" w:rsidP="00992A1F">
      <w:pPr>
        <w:pStyle w:val="APABody"/>
        <w:ind w:firstLine="0"/>
        <w:rPr>
          <w:rFonts w:ascii="Arial" w:hAnsi="Arial" w:cs="Arial"/>
          <w:sz w:val="22"/>
        </w:rPr>
      </w:pPr>
      <w:r w:rsidRPr="00E2653D">
        <w:rPr>
          <w:rFonts w:ascii="Arial" w:hAnsi="Arial" w:cs="Arial"/>
          <w:sz w:val="22"/>
        </w:rPr>
        <w:t>Maslow, A. H. (1943). A theory of human motivation. Psychological Review, 50(4), 370–</w:t>
      </w:r>
      <w:r w:rsidRPr="00E2653D">
        <w:rPr>
          <w:rFonts w:ascii="Arial" w:hAnsi="Arial" w:cs="Arial"/>
          <w:sz w:val="22"/>
        </w:rPr>
        <w:tab/>
        <w:t>396.</w:t>
      </w:r>
    </w:p>
    <w:p w14:paraId="0AC17BD3" w14:textId="512E8FFA" w:rsidR="00E2653D" w:rsidRDefault="00E2653D" w:rsidP="00992A1F">
      <w:pPr>
        <w:pStyle w:val="APABody"/>
        <w:ind w:firstLine="0"/>
        <w:rPr>
          <w:rFonts w:ascii="Arial" w:hAnsi="Arial" w:cs="Arial"/>
          <w:sz w:val="22"/>
        </w:rPr>
      </w:pPr>
      <w:r w:rsidRPr="00E2653D">
        <w:rPr>
          <w:rFonts w:ascii="Arial" w:hAnsi="Arial" w:cs="Arial"/>
          <w:sz w:val="22"/>
        </w:rPr>
        <w:t xml:space="preserve">Schein, E. H. (2016.). Organizational Culture and Leadership, 5th edition. O’Reilly Online </w:t>
      </w:r>
      <w:r w:rsidRPr="00E2653D">
        <w:rPr>
          <w:rFonts w:ascii="Arial" w:hAnsi="Arial" w:cs="Arial"/>
          <w:sz w:val="22"/>
        </w:rPr>
        <w:tab/>
        <w:t>Learning. https://learning.oreilly.com/library/view/organizational-culture-</w:t>
      </w:r>
      <w:r w:rsidRPr="00E2653D">
        <w:rPr>
          <w:rFonts w:ascii="Arial" w:hAnsi="Arial" w:cs="Arial"/>
          <w:sz w:val="22"/>
        </w:rPr>
        <w:tab/>
        <w:t>and/9781119212041/c02.xhtml#c2_</w:t>
      </w:r>
      <w:r>
        <w:rPr>
          <w:rFonts w:ascii="Arial" w:hAnsi="Arial" w:cs="Arial"/>
          <w:sz w:val="22"/>
        </w:rPr>
        <w:t>1</w:t>
      </w:r>
      <w:r>
        <w:rPr>
          <w:rFonts w:ascii="Arial" w:hAnsi="Arial" w:cs="Arial"/>
          <w:sz w:val="22"/>
        </w:rPr>
        <w:tab/>
      </w:r>
    </w:p>
    <w:p w14:paraId="50C39EE6" w14:textId="77777777" w:rsidR="00480A16" w:rsidRDefault="00992A1F" w:rsidP="00480A16">
      <w:pPr>
        <w:pStyle w:val="APABody"/>
        <w:ind w:firstLine="0"/>
        <w:rPr>
          <w:rFonts w:ascii="Arial" w:hAnsi="Arial" w:cs="Arial"/>
          <w:sz w:val="22"/>
        </w:rPr>
      </w:pPr>
      <w:r w:rsidRPr="00992A1F">
        <w:rPr>
          <w:rFonts w:ascii="Arial" w:hAnsi="Arial" w:cs="Arial"/>
          <w:sz w:val="22"/>
        </w:rPr>
        <w:t xml:space="preserve">Lewin, K. (1947). Frontiers in group dynamics: Concept, </w:t>
      </w:r>
      <w:proofErr w:type="gramStart"/>
      <w:r w:rsidRPr="00992A1F">
        <w:rPr>
          <w:rFonts w:ascii="Arial" w:hAnsi="Arial" w:cs="Arial"/>
          <w:sz w:val="22"/>
        </w:rPr>
        <w:t>method</w:t>
      </w:r>
      <w:proofErr w:type="gramEnd"/>
      <w:r w:rsidRPr="00992A1F">
        <w:rPr>
          <w:rFonts w:ascii="Arial" w:hAnsi="Arial" w:cs="Arial"/>
          <w:sz w:val="22"/>
        </w:rPr>
        <w:t xml:space="preserve"> and reality in social science; </w:t>
      </w:r>
      <w:r w:rsidR="0088247D">
        <w:rPr>
          <w:rFonts w:ascii="Arial" w:hAnsi="Arial" w:cs="Arial"/>
          <w:sz w:val="22"/>
        </w:rPr>
        <w:tab/>
      </w:r>
      <w:r w:rsidRPr="00992A1F">
        <w:rPr>
          <w:rFonts w:ascii="Arial" w:hAnsi="Arial" w:cs="Arial"/>
          <w:sz w:val="22"/>
        </w:rPr>
        <w:t xml:space="preserve">Social equilibria and social change. Human Relations, 1(1), 5-41. </w:t>
      </w:r>
      <w:r w:rsidR="0088247D">
        <w:rPr>
          <w:rFonts w:ascii="Arial" w:hAnsi="Arial" w:cs="Arial"/>
          <w:sz w:val="22"/>
        </w:rPr>
        <w:tab/>
      </w:r>
      <w:hyperlink r:id="rId9" w:history="1">
        <w:r w:rsidR="00C60A0A" w:rsidRPr="00C24E1F">
          <w:rPr>
            <w:rStyle w:val="Hyperlink"/>
            <w:rFonts w:ascii="Arial" w:hAnsi="Arial" w:cs="Arial"/>
            <w:sz w:val="22"/>
          </w:rPr>
          <w:t>https://doi.org/10.1177/001872674700100103</w:t>
        </w:r>
      </w:hyperlink>
    </w:p>
    <w:p w14:paraId="2A152D04" w14:textId="4A559861" w:rsidR="00480A16" w:rsidRPr="00480A16" w:rsidRDefault="00480A16" w:rsidP="00480A16">
      <w:pPr>
        <w:pStyle w:val="APABody"/>
        <w:ind w:firstLine="0"/>
        <w:rPr>
          <w:rFonts w:ascii="Arial" w:hAnsi="Arial" w:cs="Arial"/>
          <w:sz w:val="22"/>
        </w:rPr>
      </w:pPr>
      <w:r w:rsidRPr="00480A16">
        <w:rPr>
          <w:rFonts w:ascii="Arial" w:hAnsi="Arial" w:cs="Arial"/>
          <w:sz w:val="22"/>
        </w:rPr>
        <w:t xml:space="preserve">Waterman, R. H., Peters, T. J., &amp; Phillips, J. R. (1980). Structure Is Not </w:t>
      </w:r>
      <w:r>
        <w:rPr>
          <w:rFonts w:ascii="Arial" w:hAnsi="Arial" w:cs="Arial"/>
          <w:sz w:val="22"/>
        </w:rPr>
        <w:tab/>
      </w:r>
      <w:r w:rsidRPr="00480A16">
        <w:rPr>
          <w:rFonts w:ascii="Arial" w:hAnsi="Arial" w:cs="Arial"/>
          <w:sz w:val="22"/>
        </w:rPr>
        <w:t>Organization. </w:t>
      </w:r>
      <w:r w:rsidRPr="00480A16">
        <w:rPr>
          <w:rFonts w:ascii="Arial" w:hAnsi="Arial" w:cs="Arial"/>
          <w:i/>
          <w:iCs/>
          <w:sz w:val="22"/>
        </w:rPr>
        <w:t>Business Horizons, 23(</w:t>
      </w:r>
      <w:r w:rsidRPr="00480A16">
        <w:rPr>
          <w:rFonts w:ascii="Arial" w:hAnsi="Arial" w:cs="Arial"/>
          <w:sz w:val="22"/>
        </w:rPr>
        <w:t>3), 14-26. </w:t>
      </w:r>
      <w:hyperlink r:id="rId10" w:history="1">
        <w:r w:rsidRPr="00480A16">
          <w:rPr>
            <w:rStyle w:val="Hyperlink"/>
            <w:rFonts w:ascii="Arial" w:hAnsi="Arial" w:cs="Arial"/>
            <w:sz w:val="22"/>
          </w:rPr>
          <w:t>https://doi.org/10.1016/0007-</w:t>
        </w:r>
        <w:r w:rsidRPr="00C24E1F">
          <w:rPr>
            <w:rStyle w:val="Hyperlink"/>
            <w:rFonts w:ascii="Arial" w:hAnsi="Arial" w:cs="Arial"/>
            <w:sz w:val="22"/>
          </w:rPr>
          <w:tab/>
        </w:r>
        <w:r w:rsidRPr="00480A16">
          <w:rPr>
            <w:rStyle w:val="Hyperlink"/>
            <w:rFonts w:ascii="Arial" w:hAnsi="Arial" w:cs="Arial"/>
            <w:sz w:val="22"/>
          </w:rPr>
          <w:t>6813(80)90027-0</w:t>
        </w:r>
      </w:hyperlink>
    </w:p>
    <w:p w14:paraId="2BFFCE6F" w14:textId="77777777" w:rsidR="00C60A0A" w:rsidRPr="00992A1F" w:rsidRDefault="00C60A0A" w:rsidP="00992A1F">
      <w:pPr>
        <w:pStyle w:val="APABody"/>
        <w:ind w:firstLine="0"/>
        <w:rPr>
          <w:rFonts w:ascii="Arial" w:hAnsi="Arial" w:cs="Arial"/>
          <w:sz w:val="22"/>
        </w:rPr>
      </w:pPr>
    </w:p>
    <w:sectPr w:rsidR="00C60A0A" w:rsidRPr="00992A1F" w:rsidSect="00F20C3E">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D48F2" w14:textId="77777777" w:rsidR="00B82592" w:rsidRDefault="00B82592" w:rsidP="00F20C3E">
      <w:pPr>
        <w:spacing w:line="240" w:lineRule="auto"/>
      </w:pPr>
      <w:r>
        <w:separator/>
      </w:r>
    </w:p>
  </w:endnote>
  <w:endnote w:type="continuationSeparator" w:id="0">
    <w:p w14:paraId="239C3554" w14:textId="77777777" w:rsidR="00B82592" w:rsidRDefault="00B82592" w:rsidP="00F20C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C1B3D" w14:textId="77777777" w:rsidR="00B82592" w:rsidRDefault="00B82592" w:rsidP="00F20C3E">
      <w:pPr>
        <w:spacing w:line="240" w:lineRule="auto"/>
      </w:pPr>
      <w:r>
        <w:separator/>
      </w:r>
    </w:p>
  </w:footnote>
  <w:footnote w:type="continuationSeparator" w:id="0">
    <w:p w14:paraId="1D797777" w14:textId="77777777" w:rsidR="00B82592" w:rsidRDefault="00B82592" w:rsidP="00F20C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9E370" w14:textId="6E1D4ED6" w:rsidR="00F20C3E" w:rsidRPr="00F20C3E" w:rsidRDefault="00F20C3E" w:rsidP="00F20C3E">
    <w:pPr>
      <w:pStyle w:val="APAHeader"/>
      <w:tabs>
        <w:tab w:val="right" w:pos="9360"/>
      </w:tabs>
    </w:pPr>
    <w:r>
      <w:tab/>
    </w:r>
    <w:r>
      <w:fldChar w:fldCharType="begin"/>
    </w:r>
    <w:r>
      <w:instrText xml:space="preserve"> PAGE  \* MERGEFORMAT </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026"/>
    <w:multiLevelType w:val="hybridMultilevel"/>
    <w:tmpl w:val="187E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024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1NDM2MzM0NzQ1NzJT0lEKTi0uzszPAykwtqgFAL0yoVctAAAA"/>
    <w:docVar w:name="rpsAdvancedSort" w:val="True"/>
    <w:docVar w:name="rpsAutoSort" w:val="True"/>
    <w:docVar w:name="RPSDocumentID" w:val="202203191112441456688285"/>
    <w:docVar w:name="rpsInsertCitation" w:val="False"/>
    <w:docVar w:name="rpsReferencePageCreated" w:val="True"/>
  </w:docVars>
  <w:rsids>
    <w:rsidRoot w:val="00F20C3E"/>
    <w:rsid w:val="000019FA"/>
    <w:rsid w:val="00002D1C"/>
    <w:rsid w:val="000069E5"/>
    <w:rsid w:val="00013478"/>
    <w:rsid w:val="00022332"/>
    <w:rsid w:val="00022DF5"/>
    <w:rsid w:val="00031DDE"/>
    <w:rsid w:val="000335FA"/>
    <w:rsid w:val="00036EB6"/>
    <w:rsid w:val="0004094D"/>
    <w:rsid w:val="00042817"/>
    <w:rsid w:val="00042C83"/>
    <w:rsid w:val="00050F4C"/>
    <w:rsid w:val="000516E9"/>
    <w:rsid w:val="0005607B"/>
    <w:rsid w:val="00060D79"/>
    <w:rsid w:val="000612CC"/>
    <w:rsid w:val="00062707"/>
    <w:rsid w:val="00070CAE"/>
    <w:rsid w:val="00073094"/>
    <w:rsid w:val="00073888"/>
    <w:rsid w:val="000742BB"/>
    <w:rsid w:val="00076B22"/>
    <w:rsid w:val="00082D88"/>
    <w:rsid w:val="0008684D"/>
    <w:rsid w:val="000879AF"/>
    <w:rsid w:val="00087F66"/>
    <w:rsid w:val="00092F86"/>
    <w:rsid w:val="000A0AD3"/>
    <w:rsid w:val="000A2F44"/>
    <w:rsid w:val="000A4CF5"/>
    <w:rsid w:val="000A6A50"/>
    <w:rsid w:val="000B38F2"/>
    <w:rsid w:val="000B47C4"/>
    <w:rsid w:val="000B6F8B"/>
    <w:rsid w:val="000C02B9"/>
    <w:rsid w:val="000C1150"/>
    <w:rsid w:val="000C2D2E"/>
    <w:rsid w:val="000C3310"/>
    <w:rsid w:val="000C7E6E"/>
    <w:rsid w:val="000D36F2"/>
    <w:rsid w:val="000D419B"/>
    <w:rsid w:val="000E005A"/>
    <w:rsid w:val="000E120A"/>
    <w:rsid w:val="000E2B45"/>
    <w:rsid w:val="000E55B9"/>
    <w:rsid w:val="000E6062"/>
    <w:rsid w:val="000F3427"/>
    <w:rsid w:val="000F3AD6"/>
    <w:rsid w:val="000F3E29"/>
    <w:rsid w:val="000F40FE"/>
    <w:rsid w:val="000F442C"/>
    <w:rsid w:val="000F4C51"/>
    <w:rsid w:val="000F6374"/>
    <w:rsid w:val="001017DB"/>
    <w:rsid w:val="00104BEB"/>
    <w:rsid w:val="00111447"/>
    <w:rsid w:val="00113D2B"/>
    <w:rsid w:val="0011588F"/>
    <w:rsid w:val="00116F68"/>
    <w:rsid w:val="001213BB"/>
    <w:rsid w:val="001219CF"/>
    <w:rsid w:val="001237D2"/>
    <w:rsid w:val="001331F2"/>
    <w:rsid w:val="00134C60"/>
    <w:rsid w:val="0013694C"/>
    <w:rsid w:val="001376E5"/>
    <w:rsid w:val="001379A2"/>
    <w:rsid w:val="00141972"/>
    <w:rsid w:val="0014201E"/>
    <w:rsid w:val="001420FF"/>
    <w:rsid w:val="0014629C"/>
    <w:rsid w:val="001475B9"/>
    <w:rsid w:val="001559C3"/>
    <w:rsid w:val="00155D6E"/>
    <w:rsid w:val="00161C5E"/>
    <w:rsid w:val="00165AB2"/>
    <w:rsid w:val="001718D6"/>
    <w:rsid w:val="00172410"/>
    <w:rsid w:val="0017312B"/>
    <w:rsid w:val="00174085"/>
    <w:rsid w:val="00174194"/>
    <w:rsid w:val="0017481C"/>
    <w:rsid w:val="001759A5"/>
    <w:rsid w:val="00183440"/>
    <w:rsid w:val="001878D4"/>
    <w:rsid w:val="00191914"/>
    <w:rsid w:val="00194210"/>
    <w:rsid w:val="0019441C"/>
    <w:rsid w:val="001944C4"/>
    <w:rsid w:val="001A1E7F"/>
    <w:rsid w:val="001A32AB"/>
    <w:rsid w:val="001A374A"/>
    <w:rsid w:val="001A7FBB"/>
    <w:rsid w:val="001B05BA"/>
    <w:rsid w:val="001B117C"/>
    <w:rsid w:val="001B6B90"/>
    <w:rsid w:val="001C22F1"/>
    <w:rsid w:val="001C26B3"/>
    <w:rsid w:val="001C53BC"/>
    <w:rsid w:val="001C6019"/>
    <w:rsid w:val="001C75E2"/>
    <w:rsid w:val="001D5A2D"/>
    <w:rsid w:val="001E01EE"/>
    <w:rsid w:val="001E0A47"/>
    <w:rsid w:val="001E2183"/>
    <w:rsid w:val="001E5F32"/>
    <w:rsid w:val="001E78AE"/>
    <w:rsid w:val="001E7E29"/>
    <w:rsid w:val="001F0553"/>
    <w:rsid w:val="001F4B2F"/>
    <w:rsid w:val="00200BDC"/>
    <w:rsid w:val="002025E3"/>
    <w:rsid w:val="002028C8"/>
    <w:rsid w:val="00202DB6"/>
    <w:rsid w:val="00210F90"/>
    <w:rsid w:val="00212702"/>
    <w:rsid w:val="00212F99"/>
    <w:rsid w:val="002156B9"/>
    <w:rsid w:val="0021599B"/>
    <w:rsid w:val="002167B1"/>
    <w:rsid w:val="002173B6"/>
    <w:rsid w:val="00217531"/>
    <w:rsid w:val="00220021"/>
    <w:rsid w:val="00222011"/>
    <w:rsid w:val="002228A8"/>
    <w:rsid w:val="00223876"/>
    <w:rsid w:val="0023417D"/>
    <w:rsid w:val="00235F33"/>
    <w:rsid w:val="0024517D"/>
    <w:rsid w:val="002459A8"/>
    <w:rsid w:val="00246211"/>
    <w:rsid w:val="00247621"/>
    <w:rsid w:val="00251A4C"/>
    <w:rsid w:val="00252CB9"/>
    <w:rsid w:val="00253689"/>
    <w:rsid w:val="00253EB2"/>
    <w:rsid w:val="00256A0C"/>
    <w:rsid w:val="00256BCC"/>
    <w:rsid w:val="00257DA9"/>
    <w:rsid w:val="00262AA8"/>
    <w:rsid w:val="00270310"/>
    <w:rsid w:val="00271B5F"/>
    <w:rsid w:val="00271F9B"/>
    <w:rsid w:val="00274588"/>
    <w:rsid w:val="002745E4"/>
    <w:rsid w:val="00274E9A"/>
    <w:rsid w:val="00276DCF"/>
    <w:rsid w:val="00280808"/>
    <w:rsid w:val="0028210D"/>
    <w:rsid w:val="002844D9"/>
    <w:rsid w:val="00284E21"/>
    <w:rsid w:val="002918DC"/>
    <w:rsid w:val="00294752"/>
    <w:rsid w:val="00295F78"/>
    <w:rsid w:val="002969DF"/>
    <w:rsid w:val="00297877"/>
    <w:rsid w:val="002A0637"/>
    <w:rsid w:val="002A0E64"/>
    <w:rsid w:val="002A16A2"/>
    <w:rsid w:val="002A6CA4"/>
    <w:rsid w:val="002B0DCA"/>
    <w:rsid w:val="002B1887"/>
    <w:rsid w:val="002B1CAF"/>
    <w:rsid w:val="002B39C0"/>
    <w:rsid w:val="002B47EB"/>
    <w:rsid w:val="002B5B82"/>
    <w:rsid w:val="002C41E9"/>
    <w:rsid w:val="002C50EF"/>
    <w:rsid w:val="002C68BC"/>
    <w:rsid w:val="002C70A1"/>
    <w:rsid w:val="002D0DC3"/>
    <w:rsid w:val="002D10FE"/>
    <w:rsid w:val="002D1286"/>
    <w:rsid w:val="002D2611"/>
    <w:rsid w:val="002D2C9F"/>
    <w:rsid w:val="002D3726"/>
    <w:rsid w:val="002D66B6"/>
    <w:rsid w:val="002D7C3F"/>
    <w:rsid w:val="002E122D"/>
    <w:rsid w:val="002E129E"/>
    <w:rsid w:val="002E3395"/>
    <w:rsid w:val="002E37A5"/>
    <w:rsid w:val="002E52A1"/>
    <w:rsid w:val="002E7967"/>
    <w:rsid w:val="002F0DED"/>
    <w:rsid w:val="002F14E5"/>
    <w:rsid w:val="002F21E7"/>
    <w:rsid w:val="002F2A1E"/>
    <w:rsid w:val="002F60A3"/>
    <w:rsid w:val="002F69EC"/>
    <w:rsid w:val="002F739F"/>
    <w:rsid w:val="003010CB"/>
    <w:rsid w:val="00301A9A"/>
    <w:rsid w:val="0030220E"/>
    <w:rsid w:val="003044D2"/>
    <w:rsid w:val="00304BFA"/>
    <w:rsid w:val="00304EAE"/>
    <w:rsid w:val="0030517D"/>
    <w:rsid w:val="00310FC0"/>
    <w:rsid w:val="003115A3"/>
    <w:rsid w:val="00313034"/>
    <w:rsid w:val="003158C6"/>
    <w:rsid w:val="00316BC3"/>
    <w:rsid w:val="00324FF0"/>
    <w:rsid w:val="00325A3B"/>
    <w:rsid w:val="00325E3B"/>
    <w:rsid w:val="00343DEC"/>
    <w:rsid w:val="00343E37"/>
    <w:rsid w:val="00344C8B"/>
    <w:rsid w:val="0034623D"/>
    <w:rsid w:val="0034697D"/>
    <w:rsid w:val="003509F7"/>
    <w:rsid w:val="0035198A"/>
    <w:rsid w:val="00352313"/>
    <w:rsid w:val="003577AD"/>
    <w:rsid w:val="00357C6C"/>
    <w:rsid w:val="003610E0"/>
    <w:rsid w:val="0036184E"/>
    <w:rsid w:val="00365ED6"/>
    <w:rsid w:val="003661DA"/>
    <w:rsid w:val="00370A3C"/>
    <w:rsid w:val="0037603D"/>
    <w:rsid w:val="00376232"/>
    <w:rsid w:val="003810A6"/>
    <w:rsid w:val="003848FD"/>
    <w:rsid w:val="003856D0"/>
    <w:rsid w:val="0038615A"/>
    <w:rsid w:val="00392474"/>
    <w:rsid w:val="00393A31"/>
    <w:rsid w:val="00394118"/>
    <w:rsid w:val="0039480D"/>
    <w:rsid w:val="00397A02"/>
    <w:rsid w:val="003A0E2F"/>
    <w:rsid w:val="003A11CA"/>
    <w:rsid w:val="003A20A6"/>
    <w:rsid w:val="003A3E65"/>
    <w:rsid w:val="003B2841"/>
    <w:rsid w:val="003B34A2"/>
    <w:rsid w:val="003B6944"/>
    <w:rsid w:val="003B6B48"/>
    <w:rsid w:val="003B6F92"/>
    <w:rsid w:val="003B74AA"/>
    <w:rsid w:val="003B77BF"/>
    <w:rsid w:val="003C044B"/>
    <w:rsid w:val="003C26B5"/>
    <w:rsid w:val="003C3CE6"/>
    <w:rsid w:val="003D1382"/>
    <w:rsid w:val="003D1C63"/>
    <w:rsid w:val="003D2699"/>
    <w:rsid w:val="003D3DAC"/>
    <w:rsid w:val="003D6161"/>
    <w:rsid w:val="003D7471"/>
    <w:rsid w:val="003E414C"/>
    <w:rsid w:val="003E62FF"/>
    <w:rsid w:val="003E6DD1"/>
    <w:rsid w:val="003E7A5A"/>
    <w:rsid w:val="003F0FF7"/>
    <w:rsid w:val="003F402C"/>
    <w:rsid w:val="00400497"/>
    <w:rsid w:val="00402E2C"/>
    <w:rsid w:val="004041B5"/>
    <w:rsid w:val="00404897"/>
    <w:rsid w:val="004053E5"/>
    <w:rsid w:val="00405D40"/>
    <w:rsid w:val="00405DCA"/>
    <w:rsid w:val="004065AC"/>
    <w:rsid w:val="004071BB"/>
    <w:rsid w:val="0041163A"/>
    <w:rsid w:val="00411740"/>
    <w:rsid w:val="00412BBE"/>
    <w:rsid w:val="00414D26"/>
    <w:rsid w:val="00414DD1"/>
    <w:rsid w:val="00422B40"/>
    <w:rsid w:val="00424592"/>
    <w:rsid w:val="004309DD"/>
    <w:rsid w:val="00432965"/>
    <w:rsid w:val="00436CF1"/>
    <w:rsid w:val="00437A4C"/>
    <w:rsid w:val="00441BD3"/>
    <w:rsid w:val="00442035"/>
    <w:rsid w:val="0044227F"/>
    <w:rsid w:val="004439FC"/>
    <w:rsid w:val="004455E7"/>
    <w:rsid w:val="00445897"/>
    <w:rsid w:val="00447D58"/>
    <w:rsid w:val="00450813"/>
    <w:rsid w:val="00451616"/>
    <w:rsid w:val="0045179B"/>
    <w:rsid w:val="0045284F"/>
    <w:rsid w:val="00456247"/>
    <w:rsid w:val="00457CF0"/>
    <w:rsid w:val="00462F1D"/>
    <w:rsid w:val="00465756"/>
    <w:rsid w:val="00466D96"/>
    <w:rsid w:val="004678E5"/>
    <w:rsid w:val="004703FF"/>
    <w:rsid w:val="00470D89"/>
    <w:rsid w:val="00474E38"/>
    <w:rsid w:val="00475E39"/>
    <w:rsid w:val="00476D1A"/>
    <w:rsid w:val="004771EC"/>
    <w:rsid w:val="004773D6"/>
    <w:rsid w:val="004775ED"/>
    <w:rsid w:val="00480A16"/>
    <w:rsid w:val="004810BF"/>
    <w:rsid w:val="0048168F"/>
    <w:rsid w:val="00482AA3"/>
    <w:rsid w:val="004846B4"/>
    <w:rsid w:val="00484ADD"/>
    <w:rsid w:val="00485473"/>
    <w:rsid w:val="00490BD5"/>
    <w:rsid w:val="00494230"/>
    <w:rsid w:val="00496B7F"/>
    <w:rsid w:val="004A0100"/>
    <w:rsid w:val="004A5BAC"/>
    <w:rsid w:val="004A7A57"/>
    <w:rsid w:val="004B4521"/>
    <w:rsid w:val="004B49F4"/>
    <w:rsid w:val="004C2328"/>
    <w:rsid w:val="004C2C26"/>
    <w:rsid w:val="004C3AD6"/>
    <w:rsid w:val="004C4213"/>
    <w:rsid w:val="004C7A1E"/>
    <w:rsid w:val="004D00C8"/>
    <w:rsid w:val="004D37D3"/>
    <w:rsid w:val="004D49E8"/>
    <w:rsid w:val="004D66C2"/>
    <w:rsid w:val="004D780C"/>
    <w:rsid w:val="004D7F5B"/>
    <w:rsid w:val="004F3335"/>
    <w:rsid w:val="004F36FB"/>
    <w:rsid w:val="004F55EF"/>
    <w:rsid w:val="004F5D23"/>
    <w:rsid w:val="004F7B86"/>
    <w:rsid w:val="0050021C"/>
    <w:rsid w:val="00501CCC"/>
    <w:rsid w:val="00510FB5"/>
    <w:rsid w:val="005118B8"/>
    <w:rsid w:val="0051341C"/>
    <w:rsid w:val="005147DB"/>
    <w:rsid w:val="0051487D"/>
    <w:rsid w:val="00520DAC"/>
    <w:rsid w:val="00524D40"/>
    <w:rsid w:val="00526DE5"/>
    <w:rsid w:val="00532436"/>
    <w:rsid w:val="00533931"/>
    <w:rsid w:val="00534F9A"/>
    <w:rsid w:val="00537AFA"/>
    <w:rsid w:val="00537BB9"/>
    <w:rsid w:val="005446B6"/>
    <w:rsid w:val="005474AE"/>
    <w:rsid w:val="0055787D"/>
    <w:rsid w:val="005615B1"/>
    <w:rsid w:val="00561841"/>
    <w:rsid w:val="00561871"/>
    <w:rsid w:val="00561C21"/>
    <w:rsid w:val="00571FFF"/>
    <w:rsid w:val="00575574"/>
    <w:rsid w:val="00580928"/>
    <w:rsid w:val="005814F1"/>
    <w:rsid w:val="00584539"/>
    <w:rsid w:val="00586196"/>
    <w:rsid w:val="00590760"/>
    <w:rsid w:val="00594956"/>
    <w:rsid w:val="005957EF"/>
    <w:rsid w:val="005A3BE1"/>
    <w:rsid w:val="005A4E84"/>
    <w:rsid w:val="005A7813"/>
    <w:rsid w:val="005B0285"/>
    <w:rsid w:val="005B3186"/>
    <w:rsid w:val="005B35E1"/>
    <w:rsid w:val="005B46CF"/>
    <w:rsid w:val="005B5881"/>
    <w:rsid w:val="005B5B7A"/>
    <w:rsid w:val="005C146D"/>
    <w:rsid w:val="005C379B"/>
    <w:rsid w:val="005C5CB2"/>
    <w:rsid w:val="005C7A7B"/>
    <w:rsid w:val="005D3B2D"/>
    <w:rsid w:val="005D4A4B"/>
    <w:rsid w:val="005D5888"/>
    <w:rsid w:val="005D665F"/>
    <w:rsid w:val="005E25A6"/>
    <w:rsid w:val="005F12FE"/>
    <w:rsid w:val="005F2ABC"/>
    <w:rsid w:val="005F551C"/>
    <w:rsid w:val="005F5AA3"/>
    <w:rsid w:val="005F6BFE"/>
    <w:rsid w:val="006018F8"/>
    <w:rsid w:val="0060339E"/>
    <w:rsid w:val="00604515"/>
    <w:rsid w:val="006078FF"/>
    <w:rsid w:val="006121B8"/>
    <w:rsid w:val="00613047"/>
    <w:rsid w:val="006139F3"/>
    <w:rsid w:val="00613A49"/>
    <w:rsid w:val="006140C0"/>
    <w:rsid w:val="00615C39"/>
    <w:rsid w:val="00616567"/>
    <w:rsid w:val="006216B7"/>
    <w:rsid w:val="00625868"/>
    <w:rsid w:val="00626AC2"/>
    <w:rsid w:val="00626DB6"/>
    <w:rsid w:val="00627A1D"/>
    <w:rsid w:val="006318EF"/>
    <w:rsid w:val="00635E80"/>
    <w:rsid w:val="006368AB"/>
    <w:rsid w:val="00637DC8"/>
    <w:rsid w:val="00644306"/>
    <w:rsid w:val="00654D6A"/>
    <w:rsid w:val="00655A0F"/>
    <w:rsid w:val="0065623A"/>
    <w:rsid w:val="006568F0"/>
    <w:rsid w:val="00656B3A"/>
    <w:rsid w:val="006616F9"/>
    <w:rsid w:val="006632C7"/>
    <w:rsid w:val="00666427"/>
    <w:rsid w:val="006673FC"/>
    <w:rsid w:val="0067086E"/>
    <w:rsid w:val="00670892"/>
    <w:rsid w:val="00670C33"/>
    <w:rsid w:val="00680FED"/>
    <w:rsid w:val="00682328"/>
    <w:rsid w:val="00683359"/>
    <w:rsid w:val="00683AF9"/>
    <w:rsid w:val="00691D97"/>
    <w:rsid w:val="00692745"/>
    <w:rsid w:val="006956C4"/>
    <w:rsid w:val="00697160"/>
    <w:rsid w:val="006A2637"/>
    <w:rsid w:val="006A31E1"/>
    <w:rsid w:val="006A6EEC"/>
    <w:rsid w:val="006B044A"/>
    <w:rsid w:val="006B104F"/>
    <w:rsid w:val="006B2344"/>
    <w:rsid w:val="006B2CA9"/>
    <w:rsid w:val="006B4317"/>
    <w:rsid w:val="006B7360"/>
    <w:rsid w:val="006C0299"/>
    <w:rsid w:val="006C40F2"/>
    <w:rsid w:val="006C487D"/>
    <w:rsid w:val="006C56BC"/>
    <w:rsid w:val="006C78C2"/>
    <w:rsid w:val="006C7E12"/>
    <w:rsid w:val="006D2629"/>
    <w:rsid w:val="006D28B3"/>
    <w:rsid w:val="006E442F"/>
    <w:rsid w:val="006E63BA"/>
    <w:rsid w:val="006F006B"/>
    <w:rsid w:val="006F015A"/>
    <w:rsid w:val="006F0E9E"/>
    <w:rsid w:val="006F1E39"/>
    <w:rsid w:val="006F2B44"/>
    <w:rsid w:val="006F3040"/>
    <w:rsid w:val="006F727B"/>
    <w:rsid w:val="006F7783"/>
    <w:rsid w:val="00701CAE"/>
    <w:rsid w:val="007028D6"/>
    <w:rsid w:val="00705D05"/>
    <w:rsid w:val="0070607A"/>
    <w:rsid w:val="00707DE9"/>
    <w:rsid w:val="00710167"/>
    <w:rsid w:val="007130FB"/>
    <w:rsid w:val="00713114"/>
    <w:rsid w:val="0071322B"/>
    <w:rsid w:val="00713EA5"/>
    <w:rsid w:val="00716329"/>
    <w:rsid w:val="007219A9"/>
    <w:rsid w:val="00721B57"/>
    <w:rsid w:val="00722AC9"/>
    <w:rsid w:val="00725223"/>
    <w:rsid w:val="00725E00"/>
    <w:rsid w:val="007266B4"/>
    <w:rsid w:val="00734823"/>
    <w:rsid w:val="00737D8F"/>
    <w:rsid w:val="00740249"/>
    <w:rsid w:val="00744DA5"/>
    <w:rsid w:val="00746074"/>
    <w:rsid w:val="00750FBF"/>
    <w:rsid w:val="007530C1"/>
    <w:rsid w:val="00754ACE"/>
    <w:rsid w:val="00755EDF"/>
    <w:rsid w:val="0075774C"/>
    <w:rsid w:val="0076338B"/>
    <w:rsid w:val="00765210"/>
    <w:rsid w:val="00767F84"/>
    <w:rsid w:val="00770708"/>
    <w:rsid w:val="00770747"/>
    <w:rsid w:val="00770E32"/>
    <w:rsid w:val="00777913"/>
    <w:rsid w:val="00781112"/>
    <w:rsid w:val="007814F1"/>
    <w:rsid w:val="00782178"/>
    <w:rsid w:val="00782594"/>
    <w:rsid w:val="00784ED5"/>
    <w:rsid w:val="007862FE"/>
    <w:rsid w:val="007870EA"/>
    <w:rsid w:val="007918BC"/>
    <w:rsid w:val="00793E7F"/>
    <w:rsid w:val="00796701"/>
    <w:rsid w:val="00796A9F"/>
    <w:rsid w:val="00796ACA"/>
    <w:rsid w:val="00797E48"/>
    <w:rsid w:val="007A4ACD"/>
    <w:rsid w:val="007A6BD6"/>
    <w:rsid w:val="007A6DEE"/>
    <w:rsid w:val="007A70AE"/>
    <w:rsid w:val="007B1645"/>
    <w:rsid w:val="007B5021"/>
    <w:rsid w:val="007C2D2D"/>
    <w:rsid w:val="007C2E99"/>
    <w:rsid w:val="007C581D"/>
    <w:rsid w:val="007C5ECC"/>
    <w:rsid w:val="007C7DEB"/>
    <w:rsid w:val="007D02C8"/>
    <w:rsid w:val="007D7B29"/>
    <w:rsid w:val="007E309A"/>
    <w:rsid w:val="007E339D"/>
    <w:rsid w:val="007E470C"/>
    <w:rsid w:val="007E7533"/>
    <w:rsid w:val="007E7753"/>
    <w:rsid w:val="007F0AE9"/>
    <w:rsid w:val="007F192D"/>
    <w:rsid w:val="007F2D58"/>
    <w:rsid w:val="007F3E3F"/>
    <w:rsid w:val="007F6354"/>
    <w:rsid w:val="007F7D54"/>
    <w:rsid w:val="00800F11"/>
    <w:rsid w:val="0080473A"/>
    <w:rsid w:val="00804E43"/>
    <w:rsid w:val="00811A33"/>
    <w:rsid w:val="00815950"/>
    <w:rsid w:val="0081601A"/>
    <w:rsid w:val="00820730"/>
    <w:rsid w:val="00821C65"/>
    <w:rsid w:val="00824BAA"/>
    <w:rsid w:val="00827069"/>
    <w:rsid w:val="00830745"/>
    <w:rsid w:val="008371E6"/>
    <w:rsid w:val="00840593"/>
    <w:rsid w:val="008425DC"/>
    <w:rsid w:val="00842EDC"/>
    <w:rsid w:val="0084387E"/>
    <w:rsid w:val="00844361"/>
    <w:rsid w:val="00846E3E"/>
    <w:rsid w:val="00851EDE"/>
    <w:rsid w:val="00855742"/>
    <w:rsid w:val="00856BE6"/>
    <w:rsid w:val="008605C9"/>
    <w:rsid w:val="00862634"/>
    <w:rsid w:val="00863BC3"/>
    <w:rsid w:val="00864768"/>
    <w:rsid w:val="008661DD"/>
    <w:rsid w:val="00871176"/>
    <w:rsid w:val="0087246A"/>
    <w:rsid w:val="00880BBD"/>
    <w:rsid w:val="00882383"/>
    <w:rsid w:val="0088247D"/>
    <w:rsid w:val="00882891"/>
    <w:rsid w:val="00890A7F"/>
    <w:rsid w:val="00893447"/>
    <w:rsid w:val="00895943"/>
    <w:rsid w:val="00895E44"/>
    <w:rsid w:val="00896D21"/>
    <w:rsid w:val="00897684"/>
    <w:rsid w:val="0089799F"/>
    <w:rsid w:val="008A15E1"/>
    <w:rsid w:val="008A1CA4"/>
    <w:rsid w:val="008A24EB"/>
    <w:rsid w:val="008A597D"/>
    <w:rsid w:val="008A61D6"/>
    <w:rsid w:val="008A7187"/>
    <w:rsid w:val="008B6651"/>
    <w:rsid w:val="008C0390"/>
    <w:rsid w:val="008C0C76"/>
    <w:rsid w:val="008C23C6"/>
    <w:rsid w:val="008C3AC2"/>
    <w:rsid w:val="008C5F35"/>
    <w:rsid w:val="008C6578"/>
    <w:rsid w:val="008C6976"/>
    <w:rsid w:val="008C75E2"/>
    <w:rsid w:val="008D6B01"/>
    <w:rsid w:val="008E17CF"/>
    <w:rsid w:val="008E2E86"/>
    <w:rsid w:val="008E41CA"/>
    <w:rsid w:val="008E7610"/>
    <w:rsid w:val="008F1AF4"/>
    <w:rsid w:val="008F3902"/>
    <w:rsid w:val="008F68B1"/>
    <w:rsid w:val="00904E31"/>
    <w:rsid w:val="0090565A"/>
    <w:rsid w:val="00906F2D"/>
    <w:rsid w:val="0091137C"/>
    <w:rsid w:val="00911C2D"/>
    <w:rsid w:val="00912ACC"/>
    <w:rsid w:val="00912B01"/>
    <w:rsid w:val="00913A5B"/>
    <w:rsid w:val="0091433F"/>
    <w:rsid w:val="00914953"/>
    <w:rsid w:val="0091603F"/>
    <w:rsid w:val="0092299B"/>
    <w:rsid w:val="00922EE1"/>
    <w:rsid w:val="009248DE"/>
    <w:rsid w:val="0092586F"/>
    <w:rsid w:val="00926320"/>
    <w:rsid w:val="0093044D"/>
    <w:rsid w:val="00931B3A"/>
    <w:rsid w:val="0093229B"/>
    <w:rsid w:val="00932E21"/>
    <w:rsid w:val="00932E3D"/>
    <w:rsid w:val="00933FDE"/>
    <w:rsid w:val="0094199C"/>
    <w:rsid w:val="0094273D"/>
    <w:rsid w:val="00942749"/>
    <w:rsid w:val="00942B77"/>
    <w:rsid w:val="009440CE"/>
    <w:rsid w:val="00950F9F"/>
    <w:rsid w:val="00951C2E"/>
    <w:rsid w:val="009528C4"/>
    <w:rsid w:val="00955A9F"/>
    <w:rsid w:val="009568C9"/>
    <w:rsid w:val="009620AF"/>
    <w:rsid w:val="00962DCE"/>
    <w:rsid w:val="0096378B"/>
    <w:rsid w:val="0096409D"/>
    <w:rsid w:val="00964571"/>
    <w:rsid w:val="00971234"/>
    <w:rsid w:val="0097360F"/>
    <w:rsid w:val="00976B18"/>
    <w:rsid w:val="009818ED"/>
    <w:rsid w:val="00984BBE"/>
    <w:rsid w:val="00984D8E"/>
    <w:rsid w:val="00986AC5"/>
    <w:rsid w:val="009908A9"/>
    <w:rsid w:val="009919F2"/>
    <w:rsid w:val="00991A8D"/>
    <w:rsid w:val="00992A1F"/>
    <w:rsid w:val="009951F9"/>
    <w:rsid w:val="00995435"/>
    <w:rsid w:val="00995CE4"/>
    <w:rsid w:val="0099744A"/>
    <w:rsid w:val="00997653"/>
    <w:rsid w:val="009A067F"/>
    <w:rsid w:val="009A08BA"/>
    <w:rsid w:val="009A459D"/>
    <w:rsid w:val="009A4785"/>
    <w:rsid w:val="009A5382"/>
    <w:rsid w:val="009A756C"/>
    <w:rsid w:val="009B0435"/>
    <w:rsid w:val="009B1EE7"/>
    <w:rsid w:val="009B2CCE"/>
    <w:rsid w:val="009B489C"/>
    <w:rsid w:val="009B5EE3"/>
    <w:rsid w:val="009C0A53"/>
    <w:rsid w:val="009C1386"/>
    <w:rsid w:val="009C7794"/>
    <w:rsid w:val="009D3FAA"/>
    <w:rsid w:val="009D45ED"/>
    <w:rsid w:val="009D472A"/>
    <w:rsid w:val="009E0B52"/>
    <w:rsid w:val="009E0F20"/>
    <w:rsid w:val="009E0F54"/>
    <w:rsid w:val="009E2A5C"/>
    <w:rsid w:val="009E6EAC"/>
    <w:rsid w:val="009E7B7E"/>
    <w:rsid w:val="009E7E9E"/>
    <w:rsid w:val="009F0292"/>
    <w:rsid w:val="009F44E8"/>
    <w:rsid w:val="009F66AD"/>
    <w:rsid w:val="009F78E8"/>
    <w:rsid w:val="009F7FBF"/>
    <w:rsid w:val="00A02744"/>
    <w:rsid w:val="00A078ED"/>
    <w:rsid w:val="00A11CBB"/>
    <w:rsid w:val="00A12252"/>
    <w:rsid w:val="00A12C69"/>
    <w:rsid w:val="00A15F33"/>
    <w:rsid w:val="00A163C5"/>
    <w:rsid w:val="00A167AD"/>
    <w:rsid w:val="00A17EF7"/>
    <w:rsid w:val="00A237C7"/>
    <w:rsid w:val="00A237E9"/>
    <w:rsid w:val="00A24C64"/>
    <w:rsid w:val="00A25C8E"/>
    <w:rsid w:val="00A35918"/>
    <w:rsid w:val="00A36E4E"/>
    <w:rsid w:val="00A403BA"/>
    <w:rsid w:val="00A40B56"/>
    <w:rsid w:val="00A43AA9"/>
    <w:rsid w:val="00A44614"/>
    <w:rsid w:val="00A47D01"/>
    <w:rsid w:val="00A5327C"/>
    <w:rsid w:val="00A54058"/>
    <w:rsid w:val="00A556DB"/>
    <w:rsid w:val="00A568D9"/>
    <w:rsid w:val="00A60E28"/>
    <w:rsid w:val="00A613C0"/>
    <w:rsid w:val="00A63BCB"/>
    <w:rsid w:val="00A65464"/>
    <w:rsid w:val="00A65683"/>
    <w:rsid w:val="00A710D7"/>
    <w:rsid w:val="00A728CC"/>
    <w:rsid w:val="00A72C7E"/>
    <w:rsid w:val="00A73953"/>
    <w:rsid w:val="00A73BF3"/>
    <w:rsid w:val="00A745AC"/>
    <w:rsid w:val="00A7701C"/>
    <w:rsid w:val="00A828C3"/>
    <w:rsid w:val="00A83864"/>
    <w:rsid w:val="00A8499B"/>
    <w:rsid w:val="00A902E5"/>
    <w:rsid w:val="00A918CB"/>
    <w:rsid w:val="00A924BF"/>
    <w:rsid w:val="00A94312"/>
    <w:rsid w:val="00A96104"/>
    <w:rsid w:val="00A96184"/>
    <w:rsid w:val="00AA3DB0"/>
    <w:rsid w:val="00AA7289"/>
    <w:rsid w:val="00AB102D"/>
    <w:rsid w:val="00AC0239"/>
    <w:rsid w:val="00AD0148"/>
    <w:rsid w:val="00AD1AD2"/>
    <w:rsid w:val="00AD5496"/>
    <w:rsid w:val="00AE0FF3"/>
    <w:rsid w:val="00AE1F28"/>
    <w:rsid w:val="00AE5BE7"/>
    <w:rsid w:val="00AF0488"/>
    <w:rsid w:val="00AF1258"/>
    <w:rsid w:val="00AF2B8E"/>
    <w:rsid w:val="00AF5055"/>
    <w:rsid w:val="00AF5148"/>
    <w:rsid w:val="00AF62E6"/>
    <w:rsid w:val="00B03C52"/>
    <w:rsid w:val="00B04545"/>
    <w:rsid w:val="00B048AD"/>
    <w:rsid w:val="00B063F0"/>
    <w:rsid w:val="00B06D33"/>
    <w:rsid w:val="00B071A8"/>
    <w:rsid w:val="00B122E2"/>
    <w:rsid w:val="00B22201"/>
    <w:rsid w:val="00B27320"/>
    <w:rsid w:val="00B305AC"/>
    <w:rsid w:val="00B307AC"/>
    <w:rsid w:val="00B321D5"/>
    <w:rsid w:val="00B328A1"/>
    <w:rsid w:val="00B32EB9"/>
    <w:rsid w:val="00B33180"/>
    <w:rsid w:val="00B35350"/>
    <w:rsid w:val="00B35F01"/>
    <w:rsid w:val="00B417F8"/>
    <w:rsid w:val="00B43E56"/>
    <w:rsid w:val="00B51AC9"/>
    <w:rsid w:val="00B56747"/>
    <w:rsid w:val="00B61A2C"/>
    <w:rsid w:val="00B65456"/>
    <w:rsid w:val="00B67C3B"/>
    <w:rsid w:val="00B700FC"/>
    <w:rsid w:val="00B70BB4"/>
    <w:rsid w:val="00B72B01"/>
    <w:rsid w:val="00B72F2E"/>
    <w:rsid w:val="00B73EEB"/>
    <w:rsid w:val="00B804BE"/>
    <w:rsid w:val="00B81376"/>
    <w:rsid w:val="00B82592"/>
    <w:rsid w:val="00B82608"/>
    <w:rsid w:val="00B83549"/>
    <w:rsid w:val="00B85EA8"/>
    <w:rsid w:val="00B8683C"/>
    <w:rsid w:val="00B90061"/>
    <w:rsid w:val="00B901A5"/>
    <w:rsid w:val="00B90708"/>
    <w:rsid w:val="00B92512"/>
    <w:rsid w:val="00B92621"/>
    <w:rsid w:val="00B92C0E"/>
    <w:rsid w:val="00B92C0F"/>
    <w:rsid w:val="00B93FC6"/>
    <w:rsid w:val="00B95906"/>
    <w:rsid w:val="00B964CE"/>
    <w:rsid w:val="00B96769"/>
    <w:rsid w:val="00BA0DDB"/>
    <w:rsid w:val="00BA3362"/>
    <w:rsid w:val="00BA3CE7"/>
    <w:rsid w:val="00BA4323"/>
    <w:rsid w:val="00BA4B61"/>
    <w:rsid w:val="00BA4E30"/>
    <w:rsid w:val="00BA624B"/>
    <w:rsid w:val="00BB0209"/>
    <w:rsid w:val="00BB12F8"/>
    <w:rsid w:val="00BB6D0E"/>
    <w:rsid w:val="00BC01CE"/>
    <w:rsid w:val="00BC0E1B"/>
    <w:rsid w:val="00BC312B"/>
    <w:rsid w:val="00BC3A3C"/>
    <w:rsid w:val="00BC3D36"/>
    <w:rsid w:val="00BD1F97"/>
    <w:rsid w:val="00BD2236"/>
    <w:rsid w:val="00BD6706"/>
    <w:rsid w:val="00BE1365"/>
    <w:rsid w:val="00BE1B47"/>
    <w:rsid w:val="00BE28B3"/>
    <w:rsid w:val="00BE2EBB"/>
    <w:rsid w:val="00BE3820"/>
    <w:rsid w:val="00BE6185"/>
    <w:rsid w:val="00BE662D"/>
    <w:rsid w:val="00BF226B"/>
    <w:rsid w:val="00BF296C"/>
    <w:rsid w:val="00BF3DCF"/>
    <w:rsid w:val="00BF42DE"/>
    <w:rsid w:val="00C00A2F"/>
    <w:rsid w:val="00C045D3"/>
    <w:rsid w:val="00C06306"/>
    <w:rsid w:val="00C067F0"/>
    <w:rsid w:val="00C0797A"/>
    <w:rsid w:val="00C1345D"/>
    <w:rsid w:val="00C20074"/>
    <w:rsid w:val="00C213EE"/>
    <w:rsid w:val="00C216A8"/>
    <w:rsid w:val="00C21D95"/>
    <w:rsid w:val="00C34BDF"/>
    <w:rsid w:val="00C35CF5"/>
    <w:rsid w:val="00C4024F"/>
    <w:rsid w:val="00C41EC8"/>
    <w:rsid w:val="00C427B3"/>
    <w:rsid w:val="00C43381"/>
    <w:rsid w:val="00C4549E"/>
    <w:rsid w:val="00C51BFF"/>
    <w:rsid w:val="00C5546A"/>
    <w:rsid w:val="00C57211"/>
    <w:rsid w:val="00C60A0A"/>
    <w:rsid w:val="00C61620"/>
    <w:rsid w:val="00C62022"/>
    <w:rsid w:val="00C63248"/>
    <w:rsid w:val="00C666CB"/>
    <w:rsid w:val="00C671E6"/>
    <w:rsid w:val="00C7343C"/>
    <w:rsid w:val="00C77782"/>
    <w:rsid w:val="00C85762"/>
    <w:rsid w:val="00C90E89"/>
    <w:rsid w:val="00C94A71"/>
    <w:rsid w:val="00C957F3"/>
    <w:rsid w:val="00C97D0F"/>
    <w:rsid w:val="00CA03D1"/>
    <w:rsid w:val="00CA62B5"/>
    <w:rsid w:val="00CB3E0B"/>
    <w:rsid w:val="00CB738C"/>
    <w:rsid w:val="00CC51DD"/>
    <w:rsid w:val="00CC547D"/>
    <w:rsid w:val="00CC557E"/>
    <w:rsid w:val="00CC5DD3"/>
    <w:rsid w:val="00CD3791"/>
    <w:rsid w:val="00CD563D"/>
    <w:rsid w:val="00CD5C7D"/>
    <w:rsid w:val="00CD5E47"/>
    <w:rsid w:val="00CD6DB4"/>
    <w:rsid w:val="00CE1217"/>
    <w:rsid w:val="00CE2108"/>
    <w:rsid w:val="00CE316E"/>
    <w:rsid w:val="00CE7436"/>
    <w:rsid w:val="00CF31FF"/>
    <w:rsid w:val="00CF382C"/>
    <w:rsid w:val="00CF4B3A"/>
    <w:rsid w:val="00CF5926"/>
    <w:rsid w:val="00D03355"/>
    <w:rsid w:val="00D03434"/>
    <w:rsid w:val="00D0465E"/>
    <w:rsid w:val="00D055BB"/>
    <w:rsid w:val="00D05F18"/>
    <w:rsid w:val="00D07592"/>
    <w:rsid w:val="00D07B2E"/>
    <w:rsid w:val="00D105B6"/>
    <w:rsid w:val="00D10D9A"/>
    <w:rsid w:val="00D135EC"/>
    <w:rsid w:val="00D13DF1"/>
    <w:rsid w:val="00D13F3E"/>
    <w:rsid w:val="00D1416F"/>
    <w:rsid w:val="00D174AC"/>
    <w:rsid w:val="00D25891"/>
    <w:rsid w:val="00D301BB"/>
    <w:rsid w:val="00D32CD2"/>
    <w:rsid w:val="00D35AB6"/>
    <w:rsid w:val="00D37572"/>
    <w:rsid w:val="00D37F09"/>
    <w:rsid w:val="00D400CE"/>
    <w:rsid w:val="00D41BFA"/>
    <w:rsid w:val="00D42755"/>
    <w:rsid w:val="00D4411D"/>
    <w:rsid w:val="00D47AB7"/>
    <w:rsid w:val="00D523E7"/>
    <w:rsid w:val="00D55F3F"/>
    <w:rsid w:val="00D5666D"/>
    <w:rsid w:val="00D60E47"/>
    <w:rsid w:val="00D636C5"/>
    <w:rsid w:val="00D639E9"/>
    <w:rsid w:val="00D63CFA"/>
    <w:rsid w:val="00D644B6"/>
    <w:rsid w:val="00D64F48"/>
    <w:rsid w:val="00D653F3"/>
    <w:rsid w:val="00D66EAC"/>
    <w:rsid w:val="00D73913"/>
    <w:rsid w:val="00D82CBC"/>
    <w:rsid w:val="00D851F6"/>
    <w:rsid w:val="00D87F43"/>
    <w:rsid w:val="00D92A5C"/>
    <w:rsid w:val="00D92EDB"/>
    <w:rsid w:val="00D94B83"/>
    <w:rsid w:val="00D955C1"/>
    <w:rsid w:val="00D95D07"/>
    <w:rsid w:val="00DA228D"/>
    <w:rsid w:val="00DA314B"/>
    <w:rsid w:val="00DA68CD"/>
    <w:rsid w:val="00DB33AA"/>
    <w:rsid w:val="00DB688C"/>
    <w:rsid w:val="00DB690E"/>
    <w:rsid w:val="00DB6DD6"/>
    <w:rsid w:val="00DB7A25"/>
    <w:rsid w:val="00DB7E75"/>
    <w:rsid w:val="00DC057C"/>
    <w:rsid w:val="00DC0A82"/>
    <w:rsid w:val="00DC0BC4"/>
    <w:rsid w:val="00DC1382"/>
    <w:rsid w:val="00DC1FDE"/>
    <w:rsid w:val="00DC3C8B"/>
    <w:rsid w:val="00DC796C"/>
    <w:rsid w:val="00DD05C9"/>
    <w:rsid w:val="00DD140A"/>
    <w:rsid w:val="00DD22D1"/>
    <w:rsid w:val="00DD23CD"/>
    <w:rsid w:val="00DE34D3"/>
    <w:rsid w:val="00DE6B0E"/>
    <w:rsid w:val="00DE77C4"/>
    <w:rsid w:val="00DF328E"/>
    <w:rsid w:val="00DF7B95"/>
    <w:rsid w:val="00E013AA"/>
    <w:rsid w:val="00E021C1"/>
    <w:rsid w:val="00E0235C"/>
    <w:rsid w:val="00E04A14"/>
    <w:rsid w:val="00E10050"/>
    <w:rsid w:val="00E15DEA"/>
    <w:rsid w:val="00E16A90"/>
    <w:rsid w:val="00E17030"/>
    <w:rsid w:val="00E21186"/>
    <w:rsid w:val="00E23844"/>
    <w:rsid w:val="00E25B95"/>
    <w:rsid w:val="00E2653D"/>
    <w:rsid w:val="00E275B1"/>
    <w:rsid w:val="00E279CF"/>
    <w:rsid w:val="00E349A6"/>
    <w:rsid w:val="00E361C4"/>
    <w:rsid w:val="00E365AA"/>
    <w:rsid w:val="00E36989"/>
    <w:rsid w:val="00E37248"/>
    <w:rsid w:val="00E40276"/>
    <w:rsid w:val="00E40B6C"/>
    <w:rsid w:val="00E41938"/>
    <w:rsid w:val="00E41B6E"/>
    <w:rsid w:val="00E45C36"/>
    <w:rsid w:val="00E5114F"/>
    <w:rsid w:val="00E531B4"/>
    <w:rsid w:val="00E53656"/>
    <w:rsid w:val="00E547C1"/>
    <w:rsid w:val="00E54DB4"/>
    <w:rsid w:val="00E66C15"/>
    <w:rsid w:val="00E74725"/>
    <w:rsid w:val="00E747B2"/>
    <w:rsid w:val="00E77087"/>
    <w:rsid w:val="00E8027D"/>
    <w:rsid w:val="00E80B68"/>
    <w:rsid w:val="00E80C30"/>
    <w:rsid w:val="00E82A5E"/>
    <w:rsid w:val="00E856D5"/>
    <w:rsid w:val="00E95134"/>
    <w:rsid w:val="00E963A4"/>
    <w:rsid w:val="00EA0778"/>
    <w:rsid w:val="00EA0DD2"/>
    <w:rsid w:val="00EB24B1"/>
    <w:rsid w:val="00EB26C0"/>
    <w:rsid w:val="00EB3CC0"/>
    <w:rsid w:val="00EB4356"/>
    <w:rsid w:val="00EB5493"/>
    <w:rsid w:val="00EC2FC0"/>
    <w:rsid w:val="00EC5793"/>
    <w:rsid w:val="00EC5D4A"/>
    <w:rsid w:val="00EC6088"/>
    <w:rsid w:val="00ED157B"/>
    <w:rsid w:val="00ED1FF3"/>
    <w:rsid w:val="00ED5111"/>
    <w:rsid w:val="00ED5EEB"/>
    <w:rsid w:val="00ED7EE7"/>
    <w:rsid w:val="00EF039A"/>
    <w:rsid w:val="00EF0EF4"/>
    <w:rsid w:val="00EF2351"/>
    <w:rsid w:val="00EF3738"/>
    <w:rsid w:val="00EF420B"/>
    <w:rsid w:val="00EF42AF"/>
    <w:rsid w:val="00EF5F65"/>
    <w:rsid w:val="00EF6139"/>
    <w:rsid w:val="00EF6AF7"/>
    <w:rsid w:val="00EF74CC"/>
    <w:rsid w:val="00EF7C56"/>
    <w:rsid w:val="00F00082"/>
    <w:rsid w:val="00F03163"/>
    <w:rsid w:val="00F04827"/>
    <w:rsid w:val="00F064DD"/>
    <w:rsid w:val="00F105F2"/>
    <w:rsid w:val="00F14061"/>
    <w:rsid w:val="00F1462D"/>
    <w:rsid w:val="00F158DA"/>
    <w:rsid w:val="00F17F1E"/>
    <w:rsid w:val="00F20C3E"/>
    <w:rsid w:val="00F2182E"/>
    <w:rsid w:val="00F23002"/>
    <w:rsid w:val="00F23BA5"/>
    <w:rsid w:val="00F2404A"/>
    <w:rsid w:val="00F24B97"/>
    <w:rsid w:val="00F26A02"/>
    <w:rsid w:val="00F306A2"/>
    <w:rsid w:val="00F317D8"/>
    <w:rsid w:val="00F3352A"/>
    <w:rsid w:val="00F33750"/>
    <w:rsid w:val="00F3385A"/>
    <w:rsid w:val="00F37F3A"/>
    <w:rsid w:val="00F4048F"/>
    <w:rsid w:val="00F43E93"/>
    <w:rsid w:val="00F46D23"/>
    <w:rsid w:val="00F50EF5"/>
    <w:rsid w:val="00F52469"/>
    <w:rsid w:val="00F60D99"/>
    <w:rsid w:val="00F641A2"/>
    <w:rsid w:val="00F64A3D"/>
    <w:rsid w:val="00F64F4C"/>
    <w:rsid w:val="00F70B32"/>
    <w:rsid w:val="00F750D2"/>
    <w:rsid w:val="00F7660B"/>
    <w:rsid w:val="00F8084C"/>
    <w:rsid w:val="00F85AA1"/>
    <w:rsid w:val="00F90D4A"/>
    <w:rsid w:val="00F915FE"/>
    <w:rsid w:val="00F91DD1"/>
    <w:rsid w:val="00F93F6C"/>
    <w:rsid w:val="00F95A5B"/>
    <w:rsid w:val="00F97F20"/>
    <w:rsid w:val="00FA5D11"/>
    <w:rsid w:val="00FA7074"/>
    <w:rsid w:val="00FB142D"/>
    <w:rsid w:val="00FB2F60"/>
    <w:rsid w:val="00FB53C5"/>
    <w:rsid w:val="00FC29A7"/>
    <w:rsid w:val="00FC6643"/>
    <w:rsid w:val="00FD23B1"/>
    <w:rsid w:val="00FD40BC"/>
    <w:rsid w:val="00FD60B4"/>
    <w:rsid w:val="00FE1DA5"/>
    <w:rsid w:val="00FE37FF"/>
    <w:rsid w:val="00FE3D15"/>
    <w:rsid w:val="00FE3E83"/>
    <w:rsid w:val="00FE4C27"/>
    <w:rsid w:val="00FE5AAD"/>
    <w:rsid w:val="00FE6461"/>
    <w:rsid w:val="00FE6923"/>
    <w:rsid w:val="00FE6CB9"/>
    <w:rsid w:val="00FF0A87"/>
    <w:rsid w:val="00FF0BDE"/>
    <w:rsid w:val="00FF1892"/>
    <w:rsid w:val="00FF5267"/>
    <w:rsid w:val="00FF5B07"/>
    <w:rsid w:val="00FF5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135BB"/>
  <w15:docId w15:val="{96A9A14E-6780-4230-AE1E-793F5668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701"/>
    <w:pPr>
      <w:spacing w:after="0" w:line="480" w:lineRule="auto"/>
    </w:pPr>
    <w:rPr>
      <w:rFonts w:ascii="Times New Roman" w:hAnsi="Times New Roman"/>
      <w:sz w:val="24"/>
    </w:rPr>
  </w:style>
  <w:style w:type="paragraph" w:styleId="Heading1">
    <w:name w:val="heading 1"/>
    <w:basedOn w:val="APACenteredText"/>
    <w:next w:val="Normal"/>
    <w:link w:val="Heading1Char"/>
    <w:uiPriority w:val="9"/>
    <w:qFormat/>
    <w:rsid w:val="00A73BF3"/>
    <w:pPr>
      <w:keepNext/>
      <w:keepLines/>
      <w:outlineLvl w:val="0"/>
    </w:pPr>
    <w:rPr>
      <w:rFonts w:eastAsiaTheme="majorEastAsia" w:cstheme="majorBidi"/>
      <w:b/>
      <w:bCs/>
      <w:color w:val="000000" w:themeColor="text1"/>
      <w:szCs w:val="28"/>
    </w:rPr>
  </w:style>
  <w:style w:type="paragraph" w:styleId="Heading2">
    <w:name w:val="heading 2"/>
    <w:basedOn w:val="NormalNoIndent"/>
    <w:next w:val="Normal"/>
    <w:link w:val="Heading2Char"/>
    <w:uiPriority w:val="9"/>
    <w:semiHidden/>
    <w:unhideWhenUsed/>
    <w:qFormat/>
    <w:rsid w:val="00A73BF3"/>
    <w:pPr>
      <w:keepNext/>
      <w:keepLines/>
      <w:outlineLvl w:val="1"/>
    </w:pPr>
    <w:rPr>
      <w:rFonts w:eastAsiaTheme="majorEastAsia" w:cstheme="majorBidi"/>
      <w:b/>
      <w:bCs/>
      <w:color w:val="000000" w:themeColor="text1"/>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Body"/>
    <w:basedOn w:val="Normal"/>
    <w:qFormat/>
    <w:rsid w:val="00A73BF3"/>
    <w:pPr>
      <w:ind w:firstLine="720"/>
    </w:pPr>
  </w:style>
  <w:style w:type="paragraph" w:customStyle="1" w:styleId="APACenteredText">
    <w:name w:val="APACenteredText"/>
    <w:basedOn w:val="Normal"/>
    <w:next w:val="APABody"/>
    <w:qFormat/>
    <w:rsid w:val="00A73BF3"/>
    <w:pPr>
      <w:jc w:val="center"/>
    </w:pPr>
  </w:style>
  <w:style w:type="paragraph" w:customStyle="1" w:styleId="NormalNoIndent">
    <w:name w:val="NormalNoIndent"/>
    <w:basedOn w:val="Normal"/>
    <w:qFormat/>
    <w:rsid w:val="00A73BF3"/>
  </w:style>
  <w:style w:type="paragraph" w:customStyle="1" w:styleId="APAHeader">
    <w:name w:val="APAHeader"/>
    <w:basedOn w:val="NormalNoIndent"/>
    <w:qFormat/>
    <w:rsid w:val="00A73BF3"/>
    <w:pPr>
      <w:spacing w:line="240" w:lineRule="auto"/>
    </w:pPr>
  </w:style>
  <w:style w:type="paragraph" w:customStyle="1" w:styleId="APAHeading1">
    <w:name w:val="APAHeading1"/>
    <w:basedOn w:val="APACenteredText"/>
    <w:next w:val="APABody"/>
    <w:qFormat/>
    <w:rsid w:val="00A73BF3"/>
    <w:rPr>
      <w:b/>
    </w:rPr>
  </w:style>
  <w:style w:type="paragraph" w:customStyle="1" w:styleId="APAHeading2">
    <w:name w:val="APAHeading2"/>
    <w:basedOn w:val="NormalNoIndent"/>
    <w:next w:val="APABody"/>
    <w:qFormat/>
    <w:rsid w:val="00A73BF3"/>
    <w:rPr>
      <w:b/>
    </w:rPr>
  </w:style>
  <w:style w:type="paragraph" w:customStyle="1" w:styleId="APAHeading3">
    <w:name w:val="APAHeading3"/>
    <w:basedOn w:val="NormalNoIndent"/>
    <w:next w:val="APABody"/>
    <w:qFormat/>
    <w:rsid w:val="00325A3B"/>
    <w:rPr>
      <w:b/>
      <w:i/>
    </w:rPr>
  </w:style>
  <w:style w:type="character" w:customStyle="1" w:styleId="APAHeading4">
    <w:name w:val="APAHeading4"/>
    <w:uiPriority w:val="1"/>
    <w:qFormat/>
    <w:rsid w:val="00325A3B"/>
    <w:rPr>
      <w:b/>
    </w:rPr>
  </w:style>
  <w:style w:type="character" w:customStyle="1" w:styleId="APAHeading5">
    <w:name w:val="APAHeading5"/>
    <w:uiPriority w:val="1"/>
    <w:qFormat/>
    <w:rsid w:val="00796701"/>
    <w:rPr>
      <w:b/>
      <w:i/>
    </w:rPr>
  </w:style>
  <w:style w:type="paragraph" w:customStyle="1" w:styleId="APALongQuote">
    <w:name w:val="APALongQuote"/>
    <w:basedOn w:val="Normal"/>
    <w:rsid w:val="00A73BF3"/>
    <w:pPr>
      <w:ind w:left="720"/>
    </w:pPr>
  </w:style>
  <w:style w:type="paragraph" w:customStyle="1" w:styleId="APALongQuoteMore">
    <w:name w:val="APALongQuoteMore"/>
    <w:basedOn w:val="Normal"/>
    <w:rsid w:val="00A73BF3"/>
    <w:pPr>
      <w:ind w:left="720"/>
    </w:pPr>
  </w:style>
  <w:style w:type="paragraph" w:styleId="Footer">
    <w:name w:val="footer"/>
    <w:basedOn w:val="Normal"/>
    <w:link w:val="FooterChar"/>
    <w:uiPriority w:val="99"/>
    <w:unhideWhenUsed/>
    <w:rsid w:val="00A73BF3"/>
    <w:pPr>
      <w:tabs>
        <w:tab w:val="center" w:pos="4680"/>
        <w:tab w:val="right" w:pos="9360"/>
      </w:tabs>
      <w:spacing w:line="240" w:lineRule="auto"/>
    </w:pPr>
  </w:style>
  <w:style w:type="character" w:customStyle="1" w:styleId="FooterChar">
    <w:name w:val="Footer Char"/>
    <w:basedOn w:val="DefaultParagraphFont"/>
    <w:link w:val="Footer"/>
    <w:uiPriority w:val="99"/>
    <w:rsid w:val="00A73BF3"/>
    <w:rPr>
      <w:rFonts w:ascii="Times New Roman" w:hAnsi="Times New Roman"/>
      <w:sz w:val="24"/>
    </w:rPr>
  </w:style>
  <w:style w:type="paragraph" w:styleId="Header">
    <w:name w:val="header"/>
    <w:basedOn w:val="Normal"/>
    <w:link w:val="HeaderChar"/>
    <w:uiPriority w:val="99"/>
    <w:unhideWhenUsed/>
    <w:rsid w:val="00A73BF3"/>
    <w:pPr>
      <w:tabs>
        <w:tab w:val="center" w:pos="4680"/>
        <w:tab w:val="right" w:pos="9360"/>
      </w:tabs>
      <w:spacing w:line="240" w:lineRule="auto"/>
    </w:pPr>
  </w:style>
  <w:style w:type="character" w:customStyle="1" w:styleId="HeaderChar">
    <w:name w:val="Header Char"/>
    <w:basedOn w:val="DefaultParagraphFont"/>
    <w:link w:val="Header"/>
    <w:uiPriority w:val="99"/>
    <w:rsid w:val="00A73BF3"/>
    <w:rPr>
      <w:rFonts w:ascii="Times New Roman" w:hAnsi="Times New Roman"/>
      <w:sz w:val="24"/>
    </w:rPr>
  </w:style>
  <w:style w:type="character" w:customStyle="1" w:styleId="Heading1Char">
    <w:name w:val="Heading 1 Char"/>
    <w:basedOn w:val="DefaultParagraphFont"/>
    <w:link w:val="Heading1"/>
    <w:uiPriority w:val="9"/>
    <w:rsid w:val="00A73BF3"/>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semiHidden/>
    <w:rsid w:val="00A73BF3"/>
    <w:rPr>
      <w:rFonts w:ascii="Times New Roman" w:eastAsiaTheme="majorEastAsia" w:hAnsi="Times New Roman" w:cstheme="majorBidi"/>
      <w:b/>
      <w:bCs/>
      <w:color w:val="000000" w:themeColor="text1"/>
      <w:sz w:val="24"/>
      <w:szCs w:val="26"/>
    </w:rPr>
  </w:style>
  <w:style w:type="paragraph" w:customStyle="1" w:styleId="References">
    <w:name w:val="References"/>
    <w:basedOn w:val="Normal"/>
    <w:qFormat/>
    <w:rsid w:val="00A73BF3"/>
    <w:pPr>
      <w:ind w:left="720" w:hanging="720"/>
    </w:pPr>
  </w:style>
  <w:style w:type="character" w:styleId="Hyperlink">
    <w:name w:val="Hyperlink"/>
    <w:basedOn w:val="DefaultParagraphFont"/>
    <w:uiPriority w:val="99"/>
    <w:unhideWhenUsed/>
    <w:rsid w:val="00A7701C"/>
    <w:rPr>
      <w:color w:val="0000FF" w:themeColor="hyperlink"/>
      <w:u w:val="single"/>
    </w:rPr>
  </w:style>
  <w:style w:type="character" w:styleId="UnresolvedMention">
    <w:name w:val="Unresolved Mention"/>
    <w:basedOn w:val="DefaultParagraphFont"/>
    <w:uiPriority w:val="99"/>
    <w:semiHidden/>
    <w:unhideWhenUsed/>
    <w:rsid w:val="00A7701C"/>
    <w:rPr>
      <w:color w:val="605E5C"/>
      <w:shd w:val="clear" w:color="auto" w:fill="E1DFDD"/>
    </w:rPr>
  </w:style>
  <w:style w:type="paragraph" w:styleId="NormalWeb">
    <w:name w:val="Normal (Web)"/>
    <w:basedOn w:val="Normal"/>
    <w:uiPriority w:val="99"/>
    <w:semiHidden/>
    <w:unhideWhenUsed/>
    <w:rsid w:val="00FF5B07"/>
    <w:rPr>
      <w:rFonts w:cs="Times New Roman"/>
      <w:szCs w:val="24"/>
    </w:rPr>
  </w:style>
  <w:style w:type="character" w:customStyle="1" w:styleId="apple-converted-space">
    <w:name w:val="apple-converted-space"/>
    <w:basedOn w:val="DefaultParagraphFont"/>
    <w:rsid w:val="00692745"/>
  </w:style>
  <w:style w:type="character" w:styleId="FollowedHyperlink">
    <w:name w:val="FollowedHyperlink"/>
    <w:basedOn w:val="DefaultParagraphFont"/>
    <w:uiPriority w:val="99"/>
    <w:semiHidden/>
    <w:unhideWhenUsed/>
    <w:rsid w:val="00C60A0A"/>
    <w:rPr>
      <w:color w:val="800080" w:themeColor="followedHyperlink"/>
      <w:u w:val="single"/>
    </w:rPr>
  </w:style>
  <w:style w:type="character" w:styleId="Emphasis">
    <w:name w:val="Emphasis"/>
    <w:basedOn w:val="DefaultParagraphFont"/>
    <w:uiPriority w:val="20"/>
    <w:qFormat/>
    <w:rsid w:val="00C60A0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9115">
      <w:bodyDiv w:val="1"/>
      <w:marLeft w:val="0"/>
      <w:marRight w:val="0"/>
      <w:marTop w:val="0"/>
      <w:marBottom w:val="0"/>
      <w:divBdr>
        <w:top w:val="none" w:sz="0" w:space="0" w:color="auto"/>
        <w:left w:val="none" w:sz="0" w:space="0" w:color="auto"/>
        <w:bottom w:val="none" w:sz="0" w:space="0" w:color="auto"/>
        <w:right w:val="none" w:sz="0" w:space="0" w:color="auto"/>
      </w:divBdr>
    </w:div>
    <w:div w:id="64883550">
      <w:bodyDiv w:val="1"/>
      <w:marLeft w:val="0"/>
      <w:marRight w:val="0"/>
      <w:marTop w:val="0"/>
      <w:marBottom w:val="0"/>
      <w:divBdr>
        <w:top w:val="none" w:sz="0" w:space="0" w:color="auto"/>
        <w:left w:val="none" w:sz="0" w:space="0" w:color="auto"/>
        <w:bottom w:val="none" w:sz="0" w:space="0" w:color="auto"/>
        <w:right w:val="none" w:sz="0" w:space="0" w:color="auto"/>
      </w:divBdr>
    </w:div>
    <w:div w:id="86273297">
      <w:bodyDiv w:val="1"/>
      <w:marLeft w:val="0"/>
      <w:marRight w:val="0"/>
      <w:marTop w:val="0"/>
      <w:marBottom w:val="0"/>
      <w:divBdr>
        <w:top w:val="none" w:sz="0" w:space="0" w:color="auto"/>
        <w:left w:val="none" w:sz="0" w:space="0" w:color="auto"/>
        <w:bottom w:val="none" w:sz="0" w:space="0" w:color="auto"/>
        <w:right w:val="none" w:sz="0" w:space="0" w:color="auto"/>
      </w:divBdr>
    </w:div>
    <w:div w:id="157237974">
      <w:bodyDiv w:val="1"/>
      <w:marLeft w:val="0"/>
      <w:marRight w:val="0"/>
      <w:marTop w:val="0"/>
      <w:marBottom w:val="0"/>
      <w:divBdr>
        <w:top w:val="none" w:sz="0" w:space="0" w:color="auto"/>
        <w:left w:val="none" w:sz="0" w:space="0" w:color="auto"/>
        <w:bottom w:val="none" w:sz="0" w:space="0" w:color="auto"/>
        <w:right w:val="none" w:sz="0" w:space="0" w:color="auto"/>
      </w:divBdr>
    </w:div>
    <w:div w:id="205989365">
      <w:bodyDiv w:val="1"/>
      <w:marLeft w:val="0"/>
      <w:marRight w:val="0"/>
      <w:marTop w:val="0"/>
      <w:marBottom w:val="0"/>
      <w:divBdr>
        <w:top w:val="none" w:sz="0" w:space="0" w:color="auto"/>
        <w:left w:val="none" w:sz="0" w:space="0" w:color="auto"/>
        <w:bottom w:val="none" w:sz="0" w:space="0" w:color="auto"/>
        <w:right w:val="none" w:sz="0" w:space="0" w:color="auto"/>
      </w:divBdr>
    </w:div>
    <w:div w:id="217320837">
      <w:bodyDiv w:val="1"/>
      <w:marLeft w:val="0"/>
      <w:marRight w:val="0"/>
      <w:marTop w:val="0"/>
      <w:marBottom w:val="0"/>
      <w:divBdr>
        <w:top w:val="none" w:sz="0" w:space="0" w:color="auto"/>
        <w:left w:val="none" w:sz="0" w:space="0" w:color="auto"/>
        <w:bottom w:val="none" w:sz="0" w:space="0" w:color="auto"/>
        <w:right w:val="none" w:sz="0" w:space="0" w:color="auto"/>
      </w:divBdr>
    </w:div>
    <w:div w:id="243270412">
      <w:bodyDiv w:val="1"/>
      <w:marLeft w:val="0"/>
      <w:marRight w:val="0"/>
      <w:marTop w:val="0"/>
      <w:marBottom w:val="0"/>
      <w:divBdr>
        <w:top w:val="none" w:sz="0" w:space="0" w:color="auto"/>
        <w:left w:val="none" w:sz="0" w:space="0" w:color="auto"/>
        <w:bottom w:val="none" w:sz="0" w:space="0" w:color="auto"/>
        <w:right w:val="none" w:sz="0" w:space="0" w:color="auto"/>
      </w:divBdr>
    </w:div>
    <w:div w:id="269969335">
      <w:bodyDiv w:val="1"/>
      <w:marLeft w:val="0"/>
      <w:marRight w:val="0"/>
      <w:marTop w:val="0"/>
      <w:marBottom w:val="0"/>
      <w:divBdr>
        <w:top w:val="none" w:sz="0" w:space="0" w:color="auto"/>
        <w:left w:val="none" w:sz="0" w:space="0" w:color="auto"/>
        <w:bottom w:val="none" w:sz="0" w:space="0" w:color="auto"/>
        <w:right w:val="none" w:sz="0" w:space="0" w:color="auto"/>
      </w:divBdr>
    </w:div>
    <w:div w:id="360857387">
      <w:bodyDiv w:val="1"/>
      <w:marLeft w:val="0"/>
      <w:marRight w:val="0"/>
      <w:marTop w:val="0"/>
      <w:marBottom w:val="0"/>
      <w:divBdr>
        <w:top w:val="none" w:sz="0" w:space="0" w:color="auto"/>
        <w:left w:val="none" w:sz="0" w:space="0" w:color="auto"/>
        <w:bottom w:val="none" w:sz="0" w:space="0" w:color="auto"/>
        <w:right w:val="none" w:sz="0" w:space="0" w:color="auto"/>
      </w:divBdr>
    </w:div>
    <w:div w:id="383019681">
      <w:bodyDiv w:val="1"/>
      <w:marLeft w:val="0"/>
      <w:marRight w:val="0"/>
      <w:marTop w:val="0"/>
      <w:marBottom w:val="0"/>
      <w:divBdr>
        <w:top w:val="none" w:sz="0" w:space="0" w:color="auto"/>
        <w:left w:val="none" w:sz="0" w:space="0" w:color="auto"/>
        <w:bottom w:val="none" w:sz="0" w:space="0" w:color="auto"/>
        <w:right w:val="none" w:sz="0" w:space="0" w:color="auto"/>
      </w:divBdr>
    </w:div>
    <w:div w:id="440414284">
      <w:bodyDiv w:val="1"/>
      <w:marLeft w:val="0"/>
      <w:marRight w:val="0"/>
      <w:marTop w:val="0"/>
      <w:marBottom w:val="0"/>
      <w:divBdr>
        <w:top w:val="none" w:sz="0" w:space="0" w:color="auto"/>
        <w:left w:val="none" w:sz="0" w:space="0" w:color="auto"/>
        <w:bottom w:val="none" w:sz="0" w:space="0" w:color="auto"/>
        <w:right w:val="none" w:sz="0" w:space="0" w:color="auto"/>
      </w:divBdr>
    </w:div>
    <w:div w:id="514271394">
      <w:bodyDiv w:val="1"/>
      <w:marLeft w:val="0"/>
      <w:marRight w:val="0"/>
      <w:marTop w:val="0"/>
      <w:marBottom w:val="0"/>
      <w:divBdr>
        <w:top w:val="none" w:sz="0" w:space="0" w:color="auto"/>
        <w:left w:val="none" w:sz="0" w:space="0" w:color="auto"/>
        <w:bottom w:val="none" w:sz="0" w:space="0" w:color="auto"/>
        <w:right w:val="none" w:sz="0" w:space="0" w:color="auto"/>
      </w:divBdr>
      <w:divsChild>
        <w:div w:id="797065491">
          <w:marLeft w:val="0"/>
          <w:marRight w:val="0"/>
          <w:marTop w:val="0"/>
          <w:marBottom w:val="0"/>
          <w:divBdr>
            <w:top w:val="none" w:sz="0" w:space="0" w:color="auto"/>
            <w:left w:val="none" w:sz="0" w:space="0" w:color="auto"/>
            <w:bottom w:val="none" w:sz="0" w:space="0" w:color="auto"/>
            <w:right w:val="none" w:sz="0" w:space="0" w:color="auto"/>
          </w:divBdr>
          <w:divsChild>
            <w:div w:id="933318799">
              <w:marLeft w:val="0"/>
              <w:marRight w:val="0"/>
              <w:marTop w:val="0"/>
              <w:marBottom w:val="0"/>
              <w:divBdr>
                <w:top w:val="none" w:sz="0" w:space="0" w:color="auto"/>
                <w:left w:val="none" w:sz="0" w:space="0" w:color="auto"/>
                <w:bottom w:val="none" w:sz="0" w:space="0" w:color="auto"/>
                <w:right w:val="none" w:sz="0" w:space="0" w:color="auto"/>
              </w:divBdr>
              <w:divsChild>
                <w:div w:id="104845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856896">
      <w:bodyDiv w:val="1"/>
      <w:marLeft w:val="0"/>
      <w:marRight w:val="0"/>
      <w:marTop w:val="0"/>
      <w:marBottom w:val="0"/>
      <w:divBdr>
        <w:top w:val="none" w:sz="0" w:space="0" w:color="auto"/>
        <w:left w:val="none" w:sz="0" w:space="0" w:color="auto"/>
        <w:bottom w:val="none" w:sz="0" w:space="0" w:color="auto"/>
        <w:right w:val="none" w:sz="0" w:space="0" w:color="auto"/>
      </w:divBdr>
    </w:div>
    <w:div w:id="614751557">
      <w:bodyDiv w:val="1"/>
      <w:marLeft w:val="0"/>
      <w:marRight w:val="0"/>
      <w:marTop w:val="0"/>
      <w:marBottom w:val="0"/>
      <w:divBdr>
        <w:top w:val="none" w:sz="0" w:space="0" w:color="auto"/>
        <w:left w:val="none" w:sz="0" w:space="0" w:color="auto"/>
        <w:bottom w:val="none" w:sz="0" w:space="0" w:color="auto"/>
        <w:right w:val="none" w:sz="0" w:space="0" w:color="auto"/>
      </w:divBdr>
    </w:div>
    <w:div w:id="670572240">
      <w:bodyDiv w:val="1"/>
      <w:marLeft w:val="0"/>
      <w:marRight w:val="0"/>
      <w:marTop w:val="0"/>
      <w:marBottom w:val="0"/>
      <w:divBdr>
        <w:top w:val="none" w:sz="0" w:space="0" w:color="auto"/>
        <w:left w:val="none" w:sz="0" w:space="0" w:color="auto"/>
        <w:bottom w:val="none" w:sz="0" w:space="0" w:color="auto"/>
        <w:right w:val="none" w:sz="0" w:space="0" w:color="auto"/>
      </w:divBdr>
    </w:div>
    <w:div w:id="737288741">
      <w:bodyDiv w:val="1"/>
      <w:marLeft w:val="0"/>
      <w:marRight w:val="0"/>
      <w:marTop w:val="0"/>
      <w:marBottom w:val="0"/>
      <w:divBdr>
        <w:top w:val="none" w:sz="0" w:space="0" w:color="auto"/>
        <w:left w:val="none" w:sz="0" w:space="0" w:color="auto"/>
        <w:bottom w:val="none" w:sz="0" w:space="0" w:color="auto"/>
        <w:right w:val="none" w:sz="0" w:space="0" w:color="auto"/>
      </w:divBdr>
    </w:div>
    <w:div w:id="804200057">
      <w:bodyDiv w:val="1"/>
      <w:marLeft w:val="0"/>
      <w:marRight w:val="0"/>
      <w:marTop w:val="0"/>
      <w:marBottom w:val="0"/>
      <w:divBdr>
        <w:top w:val="none" w:sz="0" w:space="0" w:color="auto"/>
        <w:left w:val="none" w:sz="0" w:space="0" w:color="auto"/>
        <w:bottom w:val="none" w:sz="0" w:space="0" w:color="auto"/>
        <w:right w:val="none" w:sz="0" w:space="0" w:color="auto"/>
      </w:divBdr>
    </w:div>
    <w:div w:id="883979709">
      <w:bodyDiv w:val="1"/>
      <w:marLeft w:val="0"/>
      <w:marRight w:val="0"/>
      <w:marTop w:val="0"/>
      <w:marBottom w:val="0"/>
      <w:divBdr>
        <w:top w:val="none" w:sz="0" w:space="0" w:color="auto"/>
        <w:left w:val="none" w:sz="0" w:space="0" w:color="auto"/>
        <w:bottom w:val="none" w:sz="0" w:space="0" w:color="auto"/>
        <w:right w:val="none" w:sz="0" w:space="0" w:color="auto"/>
      </w:divBdr>
    </w:div>
    <w:div w:id="984164527">
      <w:bodyDiv w:val="1"/>
      <w:marLeft w:val="0"/>
      <w:marRight w:val="0"/>
      <w:marTop w:val="0"/>
      <w:marBottom w:val="0"/>
      <w:divBdr>
        <w:top w:val="none" w:sz="0" w:space="0" w:color="auto"/>
        <w:left w:val="none" w:sz="0" w:space="0" w:color="auto"/>
        <w:bottom w:val="none" w:sz="0" w:space="0" w:color="auto"/>
        <w:right w:val="none" w:sz="0" w:space="0" w:color="auto"/>
      </w:divBdr>
    </w:div>
    <w:div w:id="1028605025">
      <w:bodyDiv w:val="1"/>
      <w:marLeft w:val="0"/>
      <w:marRight w:val="0"/>
      <w:marTop w:val="0"/>
      <w:marBottom w:val="0"/>
      <w:divBdr>
        <w:top w:val="none" w:sz="0" w:space="0" w:color="auto"/>
        <w:left w:val="none" w:sz="0" w:space="0" w:color="auto"/>
        <w:bottom w:val="none" w:sz="0" w:space="0" w:color="auto"/>
        <w:right w:val="none" w:sz="0" w:space="0" w:color="auto"/>
      </w:divBdr>
    </w:div>
    <w:div w:id="1045642027">
      <w:bodyDiv w:val="1"/>
      <w:marLeft w:val="0"/>
      <w:marRight w:val="0"/>
      <w:marTop w:val="0"/>
      <w:marBottom w:val="0"/>
      <w:divBdr>
        <w:top w:val="none" w:sz="0" w:space="0" w:color="auto"/>
        <w:left w:val="none" w:sz="0" w:space="0" w:color="auto"/>
        <w:bottom w:val="none" w:sz="0" w:space="0" w:color="auto"/>
        <w:right w:val="none" w:sz="0" w:space="0" w:color="auto"/>
      </w:divBdr>
    </w:div>
    <w:div w:id="1081367520">
      <w:bodyDiv w:val="1"/>
      <w:marLeft w:val="0"/>
      <w:marRight w:val="0"/>
      <w:marTop w:val="0"/>
      <w:marBottom w:val="0"/>
      <w:divBdr>
        <w:top w:val="none" w:sz="0" w:space="0" w:color="auto"/>
        <w:left w:val="none" w:sz="0" w:space="0" w:color="auto"/>
        <w:bottom w:val="none" w:sz="0" w:space="0" w:color="auto"/>
        <w:right w:val="none" w:sz="0" w:space="0" w:color="auto"/>
      </w:divBdr>
    </w:div>
    <w:div w:id="1081608465">
      <w:bodyDiv w:val="1"/>
      <w:marLeft w:val="0"/>
      <w:marRight w:val="0"/>
      <w:marTop w:val="0"/>
      <w:marBottom w:val="0"/>
      <w:divBdr>
        <w:top w:val="none" w:sz="0" w:space="0" w:color="auto"/>
        <w:left w:val="none" w:sz="0" w:space="0" w:color="auto"/>
        <w:bottom w:val="none" w:sz="0" w:space="0" w:color="auto"/>
        <w:right w:val="none" w:sz="0" w:space="0" w:color="auto"/>
      </w:divBdr>
      <w:divsChild>
        <w:div w:id="795493639">
          <w:marLeft w:val="0"/>
          <w:marRight w:val="0"/>
          <w:marTop w:val="0"/>
          <w:marBottom w:val="0"/>
          <w:divBdr>
            <w:top w:val="none" w:sz="0" w:space="0" w:color="auto"/>
            <w:left w:val="none" w:sz="0" w:space="0" w:color="auto"/>
            <w:bottom w:val="none" w:sz="0" w:space="0" w:color="auto"/>
            <w:right w:val="none" w:sz="0" w:space="0" w:color="auto"/>
          </w:divBdr>
          <w:divsChild>
            <w:div w:id="1334719880">
              <w:marLeft w:val="0"/>
              <w:marRight w:val="0"/>
              <w:marTop w:val="0"/>
              <w:marBottom w:val="0"/>
              <w:divBdr>
                <w:top w:val="none" w:sz="0" w:space="0" w:color="auto"/>
                <w:left w:val="none" w:sz="0" w:space="0" w:color="auto"/>
                <w:bottom w:val="none" w:sz="0" w:space="0" w:color="auto"/>
                <w:right w:val="none" w:sz="0" w:space="0" w:color="auto"/>
              </w:divBdr>
              <w:divsChild>
                <w:div w:id="14715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0772">
      <w:bodyDiv w:val="1"/>
      <w:marLeft w:val="0"/>
      <w:marRight w:val="0"/>
      <w:marTop w:val="0"/>
      <w:marBottom w:val="0"/>
      <w:divBdr>
        <w:top w:val="none" w:sz="0" w:space="0" w:color="auto"/>
        <w:left w:val="none" w:sz="0" w:space="0" w:color="auto"/>
        <w:bottom w:val="none" w:sz="0" w:space="0" w:color="auto"/>
        <w:right w:val="none" w:sz="0" w:space="0" w:color="auto"/>
      </w:divBdr>
    </w:div>
    <w:div w:id="1183711778">
      <w:bodyDiv w:val="1"/>
      <w:marLeft w:val="0"/>
      <w:marRight w:val="0"/>
      <w:marTop w:val="0"/>
      <w:marBottom w:val="0"/>
      <w:divBdr>
        <w:top w:val="none" w:sz="0" w:space="0" w:color="auto"/>
        <w:left w:val="none" w:sz="0" w:space="0" w:color="auto"/>
        <w:bottom w:val="none" w:sz="0" w:space="0" w:color="auto"/>
        <w:right w:val="none" w:sz="0" w:space="0" w:color="auto"/>
      </w:divBdr>
    </w:div>
    <w:div w:id="1220745696">
      <w:bodyDiv w:val="1"/>
      <w:marLeft w:val="0"/>
      <w:marRight w:val="0"/>
      <w:marTop w:val="0"/>
      <w:marBottom w:val="0"/>
      <w:divBdr>
        <w:top w:val="none" w:sz="0" w:space="0" w:color="auto"/>
        <w:left w:val="none" w:sz="0" w:space="0" w:color="auto"/>
        <w:bottom w:val="none" w:sz="0" w:space="0" w:color="auto"/>
        <w:right w:val="none" w:sz="0" w:space="0" w:color="auto"/>
      </w:divBdr>
    </w:div>
    <w:div w:id="1233345237">
      <w:bodyDiv w:val="1"/>
      <w:marLeft w:val="0"/>
      <w:marRight w:val="0"/>
      <w:marTop w:val="0"/>
      <w:marBottom w:val="0"/>
      <w:divBdr>
        <w:top w:val="none" w:sz="0" w:space="0" w:color="auto"/>
        <w:left w:val="none" w:sz="0" w:space="0" w:color="auto"/>
        <w:bottom w:val="none" w:sz="0" w:space="0" w:color="auto"/>
        <w:right w:val="none" w:sz="0" w:space="0" w:color="auto"/>
      </w:divBdr>
    </w:div>
    <w:div w:id="1239439852">
      <w:bodyDiv w:val="1"/>
      <w:marLeft w:val="0"/>
      <w:marRight w:val="0"/>
      <w:marTop w:val="0"/>
      <w:marBottom w:val="0"/>
      <w:divBdr>
        <w:top w:val="none" w:sz="0" w:space="0" w:color="auto"/>
        <w:left w:val="none" w:sz="0" w:space="0" w:color="auto"/>
        <w:bottom w:val="none" w:sz="0" w:space="0" w:color="auto"/>
        <w:right w:val="none" w:sz="0" w:space="0" w:color="auto"/>
      </w:divBdr>
    </w:div>
    <w:div w:id="1293948912">
      <w:bodyDiv w:val="1"/>
      <w:marLeft w:val="0"/>
      <w:marRight w:val="0"/>
      <w:marTop w:val="0"/>
      <w:marBottom w:val="0"/>
      <w:divBdr>
        <w:top w:val="none" w:sz="0" w:space="0" w:color="auto"/>
        <w:left w:val="none" w:sz="0" w:space="0" w:color="auto"/>
        <w:bottom w:val="none" w:sz="0" w:space="0" w:color="auto"/>
        <w:right w:val="none" w:sz="0" w:space="0" w:color="auto"/>
      </w:divBdr>
    </w:div>
    <w:div w:id="1449618709">
      <w:bodyDiv w:val="1"/>
      <w:marLeft w:val="0"/>
      <w:marRight w:val="0"/>
      <w:marTop w:val="0"/>
      <w:marBottom w:val="0"/>
      <w:divBdr>
        <w:top w:val="none" w:sz="0" w:space="0" w:color="auto"/>
        <w:left w:val="none" w:sz="0" w:space="0" w:color="auto"/>
        <w:bottom w:val="none" w:sz="0" w:space="0" w:color="auto"/>
        <w:right w:val="none" w:sz="0" w:space="0" w:color="auto"/>
      </w:divBdr>
    </w:div>
    <w:div w:id="1475413349">
      <w:bodyDiv w:val="1"/>
      <w:marLeft w:val="0"/>
      <w:marRight w:val="0"/>
      <w:marTop w:val="0"/>
      <w:marBottom w:val="0"/>
      <w:divBdr>
        <w:top w:val="none" w:sz="0" w:space="0" w:color="auto"/>
        <w:left w:val="none" w:sz="0" w:space="0" w:color="auto"/>
        <w:bottom w:val="none" w:sz="0" w:space="0" w:color="auto"/>
        <w:right w:val="none" w:sz="0" w:space="0" w:color="auto"/>
      </w:divBdr>
    </w:div>
    <w:div w:id="1481389199">
      <w:bodyDiv w:val="1"/>
      <w:marLeft w:val="0"/>
      <w:marRight w:val="0"/>
      <w:marTop w:val="0"/>
      <w:marBottom w:val="0"/>
      <w:divBdr>
        <w:top w:val="none" w:sz="0" w:space="0" w:color="auto"/>
        <w:left w:val="none" w:sz="0" w:space="0" w:color="auto"/>
        <w:bottom w:val="none" w:sz="0" w:space="0" w:color="auto"/>
        <w:right w:val="none" w:sz="0" w:space="0" w:color="auto"/>
      </w:divBdr>
    </w:div>
    <w:div w:id="1521580695">
      <w:bodyDiv w:val="1"/>
      <w:marLeft w:val="0"/>
      <w:marRight w:val="0"/>
      <w:marTop w:val="0"/>
      <w:marBottom w:val="0"/>
      <w:divBdr>
        <w:top w:val="none" w:sz="0" w:space="0" w:color="auto"/>
        <w:left w:val="none" w:sz="0" w:space="0" w:color="auto"/>
        <w:bottom w:val="none" w:sz="0" w:space="0" w:color="auto"/>
        <w:right w:val="none" w:sz="0" w:space="0" w:color="auto"/>
      </w:divBdr>
    </w:div>
    <w:div w:id="1543635568">
      <w:bodyDiv w:val="1"/>
      <w:marLeft w:val="0"/>
      <w:marRight w:val="0"/>
      <w:marTop w:val="0"/>
      <w:marBottom w:val="0"/>
      <w:divBdr>
        <w:top w:val="none" w:sz="0" w:space="0" w:color="auto"/>
        <w:left w:val="none" w:sz="0" w:space="0" w:color="auto"/>
        <w:bottom w:val="none" w:sz="0" w:space="0" w:color="auto"/>
        <w:right w:val="none" w:sz="0" w:space="0" w:color="auto"/>
      </w:divBdr>
    </w:div>
    <w:div w:id="1557089869">
      <w:bodyDiv w:val="1"/>
      <w:marLeft w:val="0"/>
      <w:marRight w:val="0"/>
      <w:marTop w:val="0"/>
      <w:marBottom w:val="0"/>
      <w:divBdr>
        <w:top w:val="none" w:sz="0" w:space="0" w:color="auto"/>
        <w:left w:val="none" w:sz="0" w:space="0" w:color="auto"/>
        <w:bottom w:val="none" w:sz="0" w:space="0" w:color="auto"/>
        <w:right w:val="none" w:sz="0" w:space="0" w:color="auto"/>
      </w:divBdr>
    </w:div>
    <w:div w:id="1602227054">
      <w:bodyDiv w:val="1"/>
      <w:marLeft w:val="0"/>
      <w:marRight w:val="0"/>
      <w:marTop w:val="0"/>
      <w:marBottom w:val="0"/>
      <w:divBdr>
        <w:top w:val="none" w:sz="0" w:space="0" w:color="auto"/>
        <w:left w:val="none" w:sz="0" w:space="0" w:color="auto"/>
        <w:bottom w:val="none" w:sz="0" w:space="0" w:color="auto"/>
        <w:right w:val="none" w:sz="0" w:space="0" w:color="auto"/>
      </w:divBdr>
    </w:div>
    <w:div w:id="1683437297">
      <w:bodyDiv w:val="1"/>
      <w:marLeft w:val="0"/>
      <w:marRight w:val="0"/>
      <w:marTop w:val="0"/>
      <w:marBottom w:val="0"/>
      <w:divBdr>
        <w:top w:val="none" w:sz="0" w:space="0" w:color="auto"/>
        <w:left w:val="none" w:sz="0" w:space="0" w:color="auto"/>
        <w:bottom w:val="none" w:sz="0" w:space="0" w:color="auto"/>
        <w:right w:val="none" w:sz="0" w:space="0" w:color="auto"/>
      </w:divBdr>
    </w:div>
    <w:div w:id="1734966063">
      <w:bodyDiv w:val="1"/>
      <w:marLeft w:val="0"/>
      <w:marRight w:val="0"/>
      <w:marTop w:val="0"/>
      <w:marBottom w:val="0"/>
      <w:divBdr>
        <w:top w:val="none" w:sz="0" w:space="0" w:color="auto"/>
        <w:left w:val="none" w:sz="0" w:space="0" w:color="auto"/>
        <w:bottom w:val="none" w:sz="0" w:space="0" w:color="auto"/>
        <w:right w:val="none" w:sz="0" w:space="0" w:color="auto"/>
      </w:divBdr>
    </w:div>
    <w:div w:id="1790930322">
      <w:bodyDiv w:val="1"/>
      <w:marLeft w:val="0"/>
      <w:marRight w:val="0"/>
      <w:marTop w:val="0"/>
      <w:marBottom w:val="0"/>
      <w:divBdr>
        <w:top w:val="none" w:sz="0" w:space="0" w:color="auto"/>
        <w:left w:val="none" w:sz="0" w:space="0" w:color="auto"/>
        <w:bottom w:val="none" w:sz="0" w:space="0" w:color="auto"/>
        <w:right w:val="none" w:sz="0" w:space="0" w:color="auto"/>
      </w:divBdr>
    </w:div>
    <w:div w:id="1829512046">
      <w:bodyDiv w:val="1"/>
      <w:marLeft w:val="0"/>
      <w:marRight w:val="0"/>
      <w:marTop w:val="0"/>
      <w:marBottom w:val="0"/>
      <w:divBdr>
        <w:top w:val="none" w:sz="0" w:space="0" w:color="auto"/>
        <w:left w:val="none" w:sz="0" w:space="0" w:color="auto"/>
        <w:bottom w:val="none" w:sz="0" w:space="0" w:color="auto"/>
        <w:right w:val="none" w:sz="0" w:space="0" w:color="auto"/>
      </w:divBdr>
    </w:div>
    <w:div w:id="1868370801">
      <w:bodyDiv w:val="1"/>
      <w:marLeft w:val="0"/>
      <w:marRight w:val="0"/>
      <w:marTop w:val="0"/>
      <w:marBottom w:val="0"/>
      <w:divBdr>
        <w:top w:val="none" w:sz="0" w:space="0" w:color="auto"/>
        <w:left w:val="none" w:sz="0" w:space="0" w:color="auto"/>
        <w:bottom w:val="none" w:sz="0" w:space="0" w:color="auto"/>
        <w:right w:val="none" w:sz="0" w:space="0" w:color="auto"/>
      </w:divBdr>
    </w:div>
    <w:div w:id="1887256841">
      <w:bodyDiv w:val="1"/>
      <w:marLeft w:val="0"/>
      <w:marRight w:val="0"/>
      <w:marTop w:val="0"/>
      <w:marBottom w:val="0"/>
      <w:divBdr>
        <w:top w:val="none" w:sz="0" w:space="0" w:color="auto"/>
        <w:left w:val="none" w:sz="0" w:space="0" w:color="auto"/>
        <w:bottom w:val="none" w:sz="0" w:space="0" w:color="auto"/>
        <w:right w:val="none" w:sz="0" w:space="0" w:color="auto"/>
      </w:divBdr>
    </w:div>
    <w:div w:id="1924603034">
      <w:bodyDiv w:val="1"/>
      <w:marLeft w:val="0"/>
      <w:marRight w:val="0"/>
      <w:marTop w:val="0"/>
      <w:marBottom w:val="0"/>
      <w:divBdr>
        <w:top w:val="none" w:sz="0" w:space="0" w:color="auto"/>
        <w:left w:val="none" w:sz="0" w:space="0" w:color="auto"/>
        <w:bottom w:val="none" w:sz="0" w:space="0" w:color="auto"/>
        <w:right w:val="none" w:sz="0" w:space="0" w:color="auto"/>
      </w:divBdr>
    </w:div>
    <w:div w:id="193948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0007-6813(80)90027-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ews.clearancejobs.com/2022/01/06/security-clearance-denial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doi.org/10.1016/0007-%096813(80)90027-0" TargetMode="External"/><Relationship Id="rId4" Type="http://schemas.openxmlformats.org/officeDocument/2006/relationships/webSettings" Target="webSettings.xml"/><Relationship Id="rId9" Type="http://schemas.openxmlformats.org/officeDocument/2006/relationships/hyperlink" Target="https://doi.org/10.1177/00187267470010010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ptxg\AppData\Roaming\Microsoft\Templates\Apa7thE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C:\Users\eptxg\AppData\Roaming\Microsoft\Templates\Apa7thEd.wiz</Template>
  <TotalTime>1</TotalTime>
  <Pages>12</Pages>
  <Words>3670</Words>
  <Characters>20920</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Reference Point Software, LLC</Company>
  <LinksUpToDate>false</LinksUpToDate>
  <CharactersWithSpaces>24541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Galante</dc:creator>
  <cp:keywords>APA</cp:keywords>
  <cp:lastModifiedBy>daniel daly</cp:lastModifiedBy>
  <cp:revision>2</cp:revision>
  <dcterms:created xsi:type="dcterms:W3CDTF">2024-05-05T23:34:00Z</dcterms:created>
  <dcterms:modified xsi:type="dcterms:W3CDTF">2024-05-05T23:34:00Z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Reference Point Software, LLC</vt:lpwstr>
  </property>
</Properties>
</file>